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5A61C" w14:textId="5164EE35" w:rsidR="00157DBE" w:rsidRPr="001176D0" w:rsidRDefault="00157DBE" w:rsidP="00157DBE">
      <w:pPr>
        <w:jc w:val="center"/>
        <w:rPr>
          <w:b/>
          <w:sz w:val="24"/>
          <w:szCs w:val="24"/>
        </w:rPr>
      </w:pPr>
      <w:r>
        <w:rPr>
          <w:b/>
          <w:sz w:val="24"/>
          <w:szCs w:val="24"/>
        </w:rPr>
        <w:t>Medical Staff Transition</w:t>
      </w:r>
      <w:r w:rsidRPr="001176D0">
        <w:rPr>
          <w:b/>
          <w:sz w:val="24"/>
          <w:szCs w:val="24"/>
        </w:rPr>
        <w:t xml:space="preserve"> to Retirement – </w:t>
      </w:r>
      <w:r>
        <w:rPr>
          <w:b/>
          <w:sz w:val="24"/>
          <w:szCs w:val="24"/>
        </w:rPr>
        <w:t>Hospital Checklist</w:t>
      </w:r>
    </w:p>
    <w:p w14:paraId="6D717242" w14:textId="77777777" w:rsidR="001F4215" w:rsidRPr="00B2251B" w:rsidRDefault="001F4215">
      <w:pPr>
        <w:contextualSpacing/>
        <w:rPr>
          <w:b/>
          <w:bCs/>
          <w:sz w:val="28"/>
          <w:szCs w:val="28"/>
        </w:rPr>
      </w:pPr>
    </w:p>
    <w:p w14:paraId="402A6574" w14:textId="77777777" w:rsidR="00A856ED" w:rsidRDefault="00A856ED">
      <w:pPr>
        <w:contextualSpacing/>
        <w:rPr>
          <w:b/>
          <w:bCs/>
        </w:rPr>
      </w:pPr>
      <w:r w:rsidRPr="006B2E9F">
        <w:rPr>
          <w:b/>
          <w:bCs/>
        </w:rPr>
        <w:t>Appreciation</w:t>
      </w:r>
      <w:r>
        <w:rPr>
          <w:b/>
          <w:bCs/>
        </w:rPr>
        <w:t xml:space="preserve"> </w:t>
      </w:r>
    </w:p>
    <w:p w14:paraId="603C7154" w14:textId="775C72D2" w:rsidR="00F726F4" w:rsidRPr="00974079" w:rsidRDefault="00F726F4">
      <w:pPr>
        <w:contextualSpacing/>
      </w:pPr>
      <w:r w:rsidRPr="00974079">
        <w:t xml:space="preserve">Boston Children’s Hospital and </w:t>
      </w:r>
      <w:r w:rsidR="00A856ED" w:rsidRPr="00974079">
        <w:t xml:space="preserve">the Physician </w:t>
      </w:r>
      <w:r w:rsidRPr="00974079">
        <w:t xml:space="preserve">Foundations have </w:t>
      </w:r>
      <w:r w:rsidR="00A856ED" w:rsidRPr="00974079">
        <w:t>created an overview of o</w:t>
      </w:r>
      <w:r w:rsidRPr="00974079">
        <w:t xml:space="preserve">ptions </w:t>
      </w:r>
      <w:r w:rsidR="00A856ED" w:rsidRPr="00974079">
        <w:t xml:space="preserve">to </w:t>
      </w:r>
      <w:r w:rsidRPr="00974079">
        <w:t>enhance the wellbeing and engagement of faculty as they transition toward retirement.</w:t>
      </w:r>
      <w:r w:rsidR="00A856ED" w:rsidRPr="00974079">
        <w:t xml:space="preserve">  Faculty should discuss with their Department Chair/Chief the menu for their individual transitions.  BCH appreciates the years of service of all faculty members.</w:t>
      </w:r>
    </w:p>
    <w:p w14:paraId="5F0446C6" w14:textId="73FBABA1" w:rsidR="00A856ED" w:rsidRPr="00974079" w:rsidRDefault="00A856ED">
      <w:pPr>
        <w:contextualSpacing/>
      </w:pPr>
    </w:p>
    <w:p w14:paraId="257387F8" w14:textId="3BF4F572" w:rsidR="001C210D" w:rsidRPr="00974079" w:rsidRDefault="00A856ED">
      <w:pPr>
        <w:contextualSpacing/>
      </w:pPr>
      <w:r w:rsidRPr="00974079">
        <w:t>As faculty transition, BCH and the Departments will</w:t>
      </w:r>
      <w:r w:rsidR="000C36BD" w:rsidRPr="00974079">
        <w:t xml:space="preserve"> notify </w:t>
      </w:r>
      <w:r w:rsidRPr="00974079">
        <w:t>retiring faculty</w:t>
      </w:r>
      <w:r w:rsidR="000C36BD" w:rsidRPr="00974079">
        <w:t xml:space="preserve"> </w:t>
      </w:r>
      <w:r w:rsidRPr="00974079">
        <w:t>of how to maintain</w:t>
      </w:r>
      <w:r w:rsidR="000C36BD" w:rsidRPr="00974079">
        <w:t xml:space="preserve"> (if desired)</w:t>
      </w:r>
      <w:r w:rsidRPr="00974079">
        <w:t xml:space="preserve"> their email addresses</w:t>
      </w:r>
      <w:r w:rsidR="000C36BD" w:rsidRPr="00974079">
        <w:t>, IDs, and access to the BCH Medical Library</w:t>
      </w:r>
      <w:r w:rsidRPr="00974079">
        <w:t xml:space="preserve"> and the menu </w:t>
      </w:r>
      <w:r w:rsidR="000C36BD" w:rsidRPr="00974079">
        <w:t xml:space="preserve">of options </w:t>
      </w:r>
      <w:r w:rsidRPr="00974079">
        <w:t>offered by each Foundation and/or Department.</w:t>
      </w:r>
      <w:r w:rsidR="002B794B" w:rsidRPr="00974079">
        <w:t xml:space="preserve">  </w:t>
      </w:r>
      <w:r w:rsidR="000C36BD" w:rsidRPr="00974079">
        <w:t xml:space="preserve">Departments </w:t>
      </w:r>
      <w:r w:rsidR="002B794B" w:rsidRPr="00974079">
        <w:t>and/</w:t>
      </w:r>
      <w:r w:rsidR="000C36BD" w:rsidRPr="00974079">
        <w:t xml:space="preserve">or Foundations </w:t>
      </w:r>
      <w:r w:rsidR="0065772D" w:rsidRPr="00974079">
        <w:t>may</w:t>
      </w:r>
      <w:r w:rsidR="000C36BD" w:rsidRPr="00974079">
        <w:t xml:space="preserve"> offer access to education and/or consultation about </w:t>
      </w:r>
      <w:r w:rsidR="001C210D" w:rsidRPr="00974079">
        <w:t>financial planning, health insurance</w:t>
      </w:r>
      <w:r w:rsidR="000C36BD" w:rsidRPr="00974079">
        <w:t>, and</w:t>
      </w:r>
      <w:r w:rsidR="001C210D" w:rsidRPr="00974079">
        <w:t xml:space="preserve"> pension funds</w:t>
      </w:r>
      <w:r w:rsidR="000C36BD" w:rsidRPr="00974079">
        <w:t xml:space="preserve">. </w:t>
      </w:r>
    </w:p>
    <w:p w14:paraId="300162D1" w14:textId="77777777" w:rsidR="002B794B" w:rsidRPr="00974079" w:rsidRDefault="002B794B">
      <w:pPr>
        <w:contextualSpacing/>
      </w:pPr>
    </w:p>
    <w:p w14:paraId="66019E28" w14:textId="338FDFCA" w:rsidR="001C210D" w:rsidRPr="00974079" w:rsidRDefault="001C210D">
      <w:pPr>
        <w:contextualSpacing/>
      </w:pPr>
      <w:r w:rsidRPr="00974079">
        <w:t>Non Physicians</w:t>
      </w:r>
      <w:r w:rsidR="000C36BD" w:rsidRPr="00974079">
        <w:t xml:space="preserve"> –</w:t>
      </w:r>
      <w:r w:rsidR="002B794B" w:rsidRPr="00974079">
        <w:t xml:space="preserve"> Faculty who are non-physician investigators should discuss with their Department, BCH HR, and/or Foundation their options for staying engaged with BCH as they transition</w:t>
      </w:r>
      <w:r w:rsidR="0065772D" w:rsidRPr="00974079">
        <w:t xml:space="preserve"> toward retirement</w:t>
      </w:r>
      <w:r w:rsidR="002B794B" w:rsidRPr="00974079">
        <w:t>.</w:t>
      </w:r>
    </w:p>
    <w:p w14:paraId="7C2E35EB" w14:textId="77777777" w:rsidR="00F726F4" w:rsidRDefault="00F726F4">
      <w:pPr>
        <w:contextualSpacing/>
        <w:rPr>
          <w:b/>
          <w:bCs/>
        </w:rPr>
      </w:pPr>
    </w:p>
    <w:p w14:paraId="345DE423" w14:textId="122E5FC7" w:rsidR="00C76954" w:rsidRDefault="00C76954">
      <w:pPr>
        <w:contextualSpacing/>
        <w:rPr>
          <w:b/>
          <w:bCs/>
        </w:rPr>
      </w:pPr>
      <w:r>
        <w:rPr>
          <w:b/>
          <w:bCs/>
        </w:rPr>
        <w:t>Terms:</w:t>
      </w:r>
    </w:p>
    <w:p w14:paraId="181D0699" w14:textId="50568781" w:rsidR="00C76954" w:rsidRPr="00974079" w:rsidRDefault="00C76954" w:rsidP="00C76954">
      <w:pPr>
        <w:pStyle w:val="ListParagraph"/>
        <w:numPr>
          <w:ilvl w:val="0"/>
          <w:numId w:val="17"/>
        </w:numPr>
      </w:pPr>
      <w:r>
        <w:rPr>
          <w:b/>
          <w:bCs/>
        </w:rPr>
        <w:t xml:space="preserve">Transitioning </w:t>
      </w:r>
      <w:r w:rsidR="0065772D">
        <w:rPr>
          <w:b/>
          <w:bCs/>
        </w:rPr>
        <w:t xml:space="preserve">Physician </w:t>
      </w:r>
      <w:r>
        <w:rPr>
          <w:b/>
          <w:bCs/>
        </w:rPr>
        <w:t xml:space="preserve">Faculty – </w:t>
      </w:r>
      <w:r w:rsidRPr="00974079">
        <w:t xml:space="preserve">Those </w:t>
      </w:r>
      <w:r w:rsidR="00E57CD3" w:rsidRPr="00974079">
        <w:t xml:space="preserve">physician </w:t>
      </w:r>
      <w:r w:rsidRPr="00974079">
        <w:t>faculty members on a pathway towards retirement but who retain clinical privileges</w:t>
      </w:r>
      <w:r w:rsidR="007A4215" w:rsidRPr="00974079">
        <w:t xml:space="preserve"> (inclusive of teaching medical students/trainees)</w:t>
      </w:r>
      <w:r w:rsidRPr="00974079">
        <w:t xml:space="preserve"> and the ability to practice commensurate with their agreed upon role with their Department/Division Chief</w:t>
      </w:r>
    </w:p>
    <w:p w14:paraId="7EA84FF9" w14:textId="79B45629" w:rsidR="00C76954" w:rsidRPr="00974079" w:rsidRDefault="00C76954" w:rsidP="00C76954">
      <w:pPr>
        <w:pStyle w:val="ListParagraph"/>
        <w:numPr>
          <w:ilvl w:val="0"/>
          <w:numId w:val="17"/>
        </w:numPr>
      </w:pPr>
      <w:r>
        <w:rPr>
          <w:b/>
          <w:bCs/>
        </w:rPr>
        <w:t xml:space="preserve">Retired </w:t>
      </w:r>
      <w:r w:rsidR="00E57CD3">
        <w:rPr>
          <w:b/>
          <w:bCs/>
        </w:rPr>
        <w:t xml:space="preserve">Physician </w:t>
      </w:r>
      <w:r>
        <w:rPr>
          <w:b/>
          <w:bCs/>
        </w:rPr>
        <w:t xml:space="preserve">Faculty – </w:t>
      </w:r>
      <w:r w:rsidRPr="00974079">
        <w:t>Those faculty who have relinquished their clinical privileges and no longer practice clinically</w:t>
      </w:r>
      <w:r w:rsidR="007A4215" w:rsidRPr="00974079">
        <w:t xml:space="preserve"> (inclusive of teaching medical students/trainees)</w:t>
      </w:r>
    </w:p>
    <w:p w14:paraId="3DC33A01" w14:textId="441DE89F" w:rsidR="00B8357B" w:rsidRPr="00C87546" w:rsidRDefault="00B8357B">
      <w:pPr>
        <w:contextualSpacing/>
        <w:rPr>
          <w:b/>
        </w:rPr>
      </w:pPr>
      <w:r w:rsidRPr="00C87546">
        <w:rPr>
          <w:b/>
        </w:rPr>
        <w:t>Faculty Checklist:</w:t>
      </w:r>
    </w:p>
    <w:p w14:paraId="2BE92E68" w14:textId="6618C1A1" w:rsidR="00C76954" w:rsidRPr="00974079" w:rsidRDefault="00444D18">
      <w:pPr>
        <w:contextualSpacing/>
        <w:rPr>
          <w:bCs/>
        </w:rPr>
      </w:pPr>
      <w:r w:rsidRPr="00974079">
        <w:rPr>
          <w:bCs/>
        </w:rPr>
        <w:t>Faculty are encouraged to</w:t>
      </w:r>
      <w:r w:rsidR="00A205C4" w:rsidRPr="00974079">
        <w:rPr>
          <w:bCs/>
        </w:rPr>
        <w:t xml:space="preserve"> discuss with </w:t>
      </w:r>
      <w:r w:rsidRPr="00974079">
        <w:rPr>
          <w:bCs/>
        </w:rPr>
        <w:t>their</w:t>
      </w:r>
      <w:r w:rsidR="00A205C4" w:rsidRPr="00974079">
        <w:rPr>
          <w:bCs/>
        </w:rPr>
        <w:t xml:space="preserve"> Chief how to taper the following </w:t>
      </w:r>
      <w:r w:rsidRPr="00974079">
        <w:rPr>
          <w:bCs/>
        </w:rPr>
        <w:t xml:space="preserve">activities </w:t>
      </w:r>
      <w:r w:rsidR="00A205C4" w:rsidRPr="00974079">
        <w:rPr>
          <w:bCs/>
        </w:rPr>
        <w:t xml:space="preserve">on </w:t>
      </w:r>
      <w:r w:rsidRPr="00974079">
        <w:rPr>
          <w:bCs/>
        </w:rPr>
        <w:t>their</w:t>
      </w:r>
      <w:r w:rsidR="00A205C4" w:rsidRPr="00974079">
        <w:rPr>
          <w:bCs/>
        </w:rPr>
        <w:t xml:space="preserve"> transition pathway</w:t>
      </w:r>
      <w:r w:rsidR="00157DBE">
        <w:rPr>
          <w:bCs/>
        </w:rPr>
        <w:t>; please also refer to the PO/Foundation Checklist</w:t>
      </w:r>
      <w:bookmarkStart w:id="0" w:name="_GoBack"/>
      <w:bookmarkEnd w:id="0"/>
      <w:r w:rsidR="00A205C4" w:rsidRPr="00974079">
        <w:rPr>
          <w:bCs/>
        </w:rPr>
        <w:t>:</w:t>
      </w:r>
    </w:p>
    <w:p w14:paraId="7504EF3C" w14:textId="5A0118DD" w:rsidR="00A205C4" w:rsidRPr="00974079" w:rsidRDefault="00A205C4" w:rsidP="007A4215">
      <w:pPr>
        <w:pStyle w:val="ListParagraph"/>
        <w:numPr>
          <w:ilvl w:val="0"/>
          <w:numId w:val="19"/>
        </w:numPr>
        <w:rPr>
          <w:bCs/>
        </w:rPr>
      </w:pPr>
      <w:r w:rsidRPr="00974079">
        <w:rPr>
          <w:bCs/>
        </w:rPr>
        <w:t>Clinical Activity</w:t>
      </w:r>
    </w:p>
    <w:p w14:paraId="316F5FB6" w14:textId="6EAF4F00" w:rsidR="00FC6E8F" w:rsidRPr="00974079" w:rsidRDefault="001830FF" w:rsidP="007A4215">
      <w:pPr>
        <w:pStyle w:val="ListParagraph"/>
        <w:numPr>
          <w:ilvl w:val="0"/>
          <w:numId w:val="19"/>
        </w:numPr>
        <w:rPr>
          <w:bCs/>
        </w:rPr>
      </w:pPr>
      <w:r w:rsidRPr="00974079">
        <w:rPr>
          <w:bCs/>
        </w:rPr>
        <w:t xml:space="preserve">BCH </w:t>
      </w:r>
      <w:r w:rsidR="00FC6E8F" w:rsidRPr="00974079">
        <w:rPr>
          <w:bCs/>
        </w:rPr>
        <w:t>Appointment/Licensure/Malpractice</w:t>
      </w:r>
    </w:p>
    <w:p w14:paraId="73393EE2" w14:textId="0607368C" w:rsidR="00A205C4" w:rsidRPr="00974079" w:rsidRDefault="00A205C4" w:rsidP="007A4215">
      <w:pPr>
        <w:pStyle w:val="ListParagraph"/>
        <w:numPr>
          <w:ilvl w:val="0"/>
          <w:numId w:val="19"/>
        </w:numPr>
        <w:rPr>
          <w:bCs/>
        </w:rPr>
      </w:pPr>
      <w:r w:rsidRPr="00974079">
        <w:rPr>
          <w:bCs/>
        </w:rPr>
        <w:t>Teaching Activity</w:t>
      </w:r>
    </w:p>
    <w:p w14:paraId="5DC44178" w14:textId="6726926D" w:rsidR="007A4215" w:rsidRPr="00974079" w:rsidRDefault="007A4215" w:rsidP="007A4215">
      <w:pPr>
        <w:pStyle w:val="ListParagraph"/>
        <w:numPr>
          <w:ilvl w:val="1"/>
          <w:numId w:val="20"/>
        </w:numPr>
        <w:rPr>
          <w:bCs/>
        </w:rPr>
      </w:pPr>
      <w:r w:rsidRPr="00974079">
        <w:rPr>
          <w:bCs/>
        </w:rPr>
        <w:t>Medical Students</w:t>
      </w:r>
    </w:p>
    <w:p w14:paraId="4DCC4B92" w14:textId="68BE5F9D" w:rsidR="007A4215" w:rsidRPr="00974079" w:rsidRDefault="007A4215" w:rsidP="007A4215">
      <w:pPr>
        <w:pStyle w:val="ListParagraph"/>
        <w:numPr>
          <w:ilvl w:val="1"/>
          <w:numId w:val="20"/>
        </w:numPr>
        <w:rPr>
          <w:bCs/>
        </w:rPr>
      </w:pPr>
      <w:r w:rsidRPr="00974079">
        <w:rPr>
          <w:bCs/>
        </w:rPr>
        <w:t>Residents/Fellows</w:t>
      </w:r>
    </w:p>
    <w:p w14:paraId="54169A52" w14:textId="3FB9111A" w:rsidR="00FC6E8F" w:rsidRPr="00974079" w:rsidRDefault="00FC6E8F" w:rsidP="007A4215">
      <w:pPr>
        <w:pStyle w:val="ListParagraph"/>
        <w:numPr>
          <w:ilvl w:val="1"/>
          <w:numId w:val="20"/>
        </w:numPr>
        <w:rPr>
          <w:bCs/>
        </w:rPr>
      </w:pPr>
      <w:r w:rsidRPr="00974079">
        <w:rPr>
          <w:bCs/>
        </w:rPr>
        <w:t>Peers</w:t>
      </w:r>
    </w:p>
    <w:p w14:paraId="372BFF87" w14:textId="19F9E1D1" w:rsidR="00A205C4" w:rsidRPr="00974079" w:rsidRDefault="00A205C4" w:rsidP="007A4215">
      <w:pPr>
        <w:pStyle w:val="ListParagraph"/>
        <w:numPr>
          <w:ilvl w:val="0"/>
          <w:numId w:val="19"/>
        </w:numPr>
        <w:rPr>
          <w:bCs/>
        </w:rPr>
      </w:pPr>
      <w:r w:rsidRPr="00974079">
        <w:rPr>
          <w:bCs/>
        </w:rPr>
        <w:t xml:space="preserve">Research </w:t>
      </w:r>
      <w:r w:rsidR="007A4215" w:rsidRPr="00974079">
        <w:rPr>
          <w:bCs/>
        </w:rPr>
        <w:t>Activity</w:t>
      </w:r>
    </w:p>
    <w:p w14:paraId="67F03AA8" w14:textId="02F3F31E" w:rsidR="007A4215" w:rsidRPr="00974079" w:rsidRDefault="007A4215" w:rsidP="007A4215">
      <w:pPr>
        <w:pStyle w:val="ListParagraph"/>
        <w:numPr>
          <w:ilvl w:val="0"/>
          <w:numId w:val="19"/>
        </w:numPr>
        <w:rPr>
          <w:bCs/>
        </w:rPr>
      </w:pPr>
      <w:r w:rsidRPr="00974079">
        <w:rPr>
          <w:bCs/>
        </w:rPr>
        <w:t>Mentorship of Faculty</w:t>
      </w:r>
      <w:r w:rsidR="00FC6E8F" w:rsidRPr="00974079">
        <w:rPr>
          <w:bCs/>
        </w:rPr>
        <w:t xml:space="preserve">, </w:t>
      </w:r>
      <w:r w:rsidR="001830FF" w:rsidRPr="00974079">
        <w:rPr>
          <w:bCs/>
        </w:rPr>
        <w:t>T</w:t>
      </w:r>
      <w:r w:rsidR="00FC6E8F" w:rsidRPr="00974079">
        <w:rPr>
          <w:bCs/>
        </w:rPr>
        <w:t>rainees, allied health</w:t>
      </w:r>
    </w:p>
    <w:p w14:paraId="1108C5C2" w14:textId="74517E9E" w:rsidR="007A4215" w:rsidRPr="00974079" w:rsidRDefault="007A4215" w:rsidP="007A4215">
      <w:pPr>
        <w:pStyle w:val="ListParagraph"/>
        <w:numPr>
          <w:ilvl w:val="0"/>
          <w:numId w:val="19"/>
        </w:numPr>
        <w:rPr>
          <w:bCs/>
        </w:rPr>
      </w:pPr>
      <w:r w:rsidRPr="00974079">
        <w:rPr>
          <w:bCs/>
        </w:rPr>
        <w:t>Committee Work</w:t>
      </w:r>
    </w:p>
    <w:p w14:paraId="46EAABED" w14:textId="327F4418" w:rsidR="00A205C4" w:rsidRPr="00974079" w:rsidRDefault="00A205C4" w:rsidP="007A4215">
      <w:pPr>
        <w:pStyle w:val="ListParagraph"/>
        <w:numPr>
          <w:ilvl w:val="0"/>
          <w:numId w:val="19"/>
        </w:numPr>
        <w:rPr>
          <w:bCs/>
        </w:rPr>
      </w:pPr>
      <w:r w:rsidRPr="00974079">
        <w:rPr>
          <w:bCs/>
        </w:rPr>
        <w:t>Logistics – Parking, ID/General Access, Office Space, Stipends,</w:t>
      </w:r>
      <w:r w:rsidR="00FC6E8F" w:rsidRPr="00974079">
        <w:rPr>
          <w:bCs/>
        </w:rPr>
        <w:t xml:space="preserve"> Journal Submission Fees,</w:t>
      </w:r>
      <w:r w:rsidRPr="00974079">
        <w:rPr>
          <w:bCs/>
        </w:rPr>
        <w:t xml:space="preserve"> Professional Development (Societies, Conferences, etc.)</w:t>
      </w:r>
      <w:r w:rsidR="007A4215" w:rsidRPr="00974079">
        <w:rPr>
          <w:bCs/>
        </w:rPr>
        <w:t xml:space="preserve">, </w:t>
      </w:r>
    </w:p>
    <w:p w14:paraId="3811F040" w14:textId="11C5DE74" w:rsidR="00A205C4" w:rsidRPr="00974079" w:rsidRDefault="00A205C4" w:rsidP="007A4215">
      <w:pPr>
        <w:pStyle w:val="ListParagraph"/>
        <w:numPr>
          <w:ilvl w:val="0"/>
          <w:numId w:val="19"/>
        </w:numPr>
        <w:rPr>
          <w:bCs/>
        </w:rPr>
      </w:pPr>
      <w:r w:rsidRPr="00974079">
        <w:rPr>
          <w:bCs/>
        </w:rPr>
        <w:t>Employment/</w:t>
      </w:r>
      <w:r w:rsidR="00FC6E8F" w:rsidRPr="00974079">
        <w:rPr>
          <w:bCs/>
        </w:rPr>
        <w:t>Salary/</w:t>
      </w:r>
      <w:r w:rsidRPr="00974079">
        <w:rPr>
          <w:bCs/>
        </w:rPr>
        <w:t>Benefits</w:t>
      </w:r>
      <w:r w:rsidR="001830FF" w:rsidRPr="00974079">
        <w:rPr>
          <w:bCs/>
        </w:rPr>
        <w:t xml:space="preserve"> – Education about health insurance, pensions, financial planning</w:t>
      </w:r>
    </w:p>
    <w:p w14:paraId="6A7DEA8A" w14:textId="5276E016" w:rsidR="00444D18" w:rsidRPr="00974079" w:rsidRDefault="00444D18" w:rsidP="007A4215">
      <w:pPr>
        <w:pStyle w:val="ListParagraph"/>
        <w:numPr>
          <w:ilvl w:val="0"/>
          <w:numId w:val="19"/>
        </w:numPr>
        <w:rPr>
          <w:bCs/>
        </w:rPr>
      </w:pPr>
      <w:r w:rsidRPr="00974079">
        <w:rPr>
          <w:bCs/>
        </w:rPr>
        <w:t>HMS academic appointment</w:t>
      </w:r>
    </w:p>
    <w:p w14:paraId="1BF0651F" w14:textId="77777777" w:rsidR="00C76954" w:rsidRDefault="00C76954">
      <w:pPr>
        <w:contextualSpacing/>
        <w:rPr>
          <w:b/>
          <w:bCs/>
        </w:rPr>
      </w:pPr>
    </w:p>
    <w:p w14:paraId="0F2534EF" w14:textId="2013F59A" w:rsidR="00B73E51" w:rsidRPr="00B73E51" w:rsidRDefault="00A30A8A">
      <w:pPr>
        <w:contextualSpacing/>
        <w:rPr>
          <w:b/>
          <w:bCs/>
        </w:rPr>
      </w:pPr>
      <w:r>
        <w:rPr>
          <w:b/>
          <w:bCs/>
        </w:rPr>
        <w:t xml:space="preserve">Medical Staff </w:t>
      </w:r>
      <w:r w:rsidR="001F4215">
        <w:rPr>
          <w:b/>
          <w:bCs/>
        </w:rPr>
        <w:t>Appointments, Credentialing and Privileging</w:t>
      </w:r>
      <w:r w:rsidR="00B73E51" w:rsidRPr="00B73E51">
        <w:rPr>
          <w:b/>
          <w:bCs/>
        </w:rPr>
        <w:t xml:space="preserve"> </w:t>
      </w:r>
    </w:p>
    <w:p w14:paraId="5C0200EE" w14:textId="28D6E21F" w:rsidR="00BA6562" w:rsidRDefault="00157DBE">
      <w:pPr>
        <w:contextualSpacing/>
      </w:pPr>
      <w:r>
        <w:t>M</w:t>
      </w:r>
      <w:r w:rsidR="00BA6562" w:rsidRPr="00BA6562">
        <w:t>edical Staff appointments are to be made in accordance with the Medical Staff Bylaws and Rules and Regulations in the original appointing Department</w:t>
      </w:r>
      <w:r w:rsidR="00B56789">
        <w:t>/Division</w:t>
      </w:r>
      <w:r w:rsidR="00BA6562" w:rsidRPr="00BA6562">
        <w:t xml:space="preserve"> as an individual is tapering practice and transitioning toward retirement</w:t>
      </w:r>
      <w:r w:rsidR="00B56789">
        <w:t xml:space="preserve"> with support of their Department/Division Chief</w:t>
      </w:r>
      <w:r w:rsidR="00BA6562" w:rsidRPr="00BA6562">
        <w:t>.</w:t>
      </w:r>
    </w:p>
    <w:p w14:paraId="0CFA8BAC" w14:textId="77777777" w:rsidR="001F4215" w:rsidRDefault="001F4215">
      <w:pPr>
        <w:contextualSpacing/>
      </w:pPr>
    </w:p>
    <w:p w14:paraId="40B4D44B" w14:textId="77777777" w:rsidR="0096302F" w:rsidRDefault="0096302F" w:rsidP="0096302F">
      <w:pPr>
        <w:contextualSpacing/>
      </w:pPr>
      <w:r>
        <w:t>Options to consider:</w:t>
      </w:r>
    </w:p>
    <w:p w14:paraId="74412114" w14:textId="7D6F03FE" w:rsidR="0096302F" w:rsidRDefault="0096302F" w:rsidP="001F4215">
      <w:pPr>
        <w:pStyle w:val="ListParagraph"/>
        <w:numPr>
          <w:ilvl w:val="0"/>
          <w:numId w:val="7"/>
        </w:numPr>
      </w:pPr>
      <w:r>
        <w:t>Re-Appoint as Active</w:t>
      </w:r>
      <w:r w:rsidR="00B56789">
        <w:t xml:space="preserve"> or Affiliate</w:t>
      </w:r>
      <w:r>
        <w:t xml:space="preserve"> Staff</w:t>
      </w:r>
      <w:r w:rsidR="001F4215">
        <w:t>,</w:t>
      </w:r>
      <w:r>
        <w:t xml:space="preserve"> with </w:t>
      </w:r>
      <w:r w:rsidR="001F4215">
        <w:t xml:space="preserve">primary specialty </w:t>
      </w:r>
      <w:r>
        <w:t>clinical privileges</w:t>
      </w:r>
      <w:r w:rsidR="001F4215">
        <w:t xml:space="preserve"> either full or reduced,</w:t>
      </w:r>
      <w:r>
        <w:t xml:space="preserve"> with a Medical License</w:t>
      </w:r>
      <w:r w:rsidR="00B56789">
        <w:t>, Board Certification</w:t>
      </w:r>
      <w:r>
        <w:t xml:space="preserve"> and </w:t>
      </w:r>
      <w:r w:rsidR="007E358F">
        <w:t xml:space="preserve">Appropriate CRICO </w:t>
      </w:r>
      <w:r>
        <w:t>Coverage</w:t>
      </w:r>
      <w:r w:rsidR="001F4215">
        <w:t>*</w:t>
      </w:r>
      <w:r>
        <w:t xml:space="preserve"> </w:t>
      </w:r>
    </w:p>
    <w:p w14:paraId="26F92E5F" w14:textId="58F08B79" w:rsidR="009A795C" w:rsidRDefault="009A795C" w:rsidP="009A795C">
      <w:pPr>
        <w:pStyle w:val="ListParagraph"/>
      </w:pPr>
      <w:r>
        <w:t>OR</w:t>
      </w:r>
    </w:p>
    <w:p w14:paraId="7D8A7C81" w14:textId="41CD7F1E" w:rsidR="007E358F" w:rsidRDefault="007E358F" w:rsidP="001F4215">
      <w:pPr>
        <w:pStyle w:val="ListParagraph"/>
        <w:numPr>
          <w:ilvl w:val="0"/>
          <w:numId w:val="7"/>
        </w:numPr>
      </w:pPr>
      <w:r>
        <w:t xml:space="preserve">Re-Appoint as Active or Affiliate Staff with </w:t>
      </w:r>
      <w:r w:rsidR="000E682E">
        <w:t xml:space="preserve">Transitioning </w:t>
      </w:r>
      <w:r w:rsidR="0069708D">
        <w:t>Consulting and Teaching Privileges**</w:t>
      </w:r>
      <w:r>
        <w:t>, with a Medical License and Teaching CRICO Coverage</w:t>
      </w:r>
      <w:r w:rsidR="001F4215">
        <w:t>*</w:t>
      </w:r>
    </w:p>
    <w:p w14:paraId="6874472F" w14:textId="11BFE752" w:rsidR="001F4215" w:rsidRDefault="001F4215" w:rsidP="001F4215">
      <w:pPr>
        <w:pStyle w:val="ListParagraph"/>
        <w:numPr>
          <w:ilvl w:val="1"/>
          <w:numId w:val="7"/>
        </w:numPr>
      </w:pPr>
      <w:r>
        <w:t>Note, Teaching CRICO Coverage provides the full coverage CRICO</w:t>
      </w:r>
      <w:r w:rsidR="0069708D">
        <w:t>;</w:t>
      </w:r>
      <w:r>
        <w:t xml:space="preserve"> however</w:t>
      </w:r>
      <w:r w:rsidR="0069708D">
        <w:t>,</w:t>
      </w:r>
      <w:r>
        <w:t xml:space="preserve"> the premium is significantly reduce</w:t>
      </w:r>
      <w:r w:rsidR="0069708D">
        <w:t>d</w:t>
      </w:r>
      <w:r>
        <w:t xml:space="preserve"> commensurate with the decrease in risk profile of these clinical activities</w:t>
      </w:r>
    </w:p>
    <w:p w14:paraId="31F95573" w14:textId="28785447" w:rsidR="009A795C" w:rsidRDefault="009A795C" w:rsidP="009A795C">
      <w:pPr>
        <w:pStyle w:val="ListParagraph"/>
      </w:pPr>
      <w:r>
        <w:t>OR</w:t>
      </w:r>
    </w:p>
    <w:p w14:paraId="475D268D" w14:textId="05287489" w:rsidR="0096302F" w:rsidRDefault="0096302F" w:rsidP="001F4215">
      <w:pPr>
        <w:pStyle w:val="ListParagraph"/>
        <w:numPr>
          <w:ilvl w:val="0"/>
          <w:numId w:val="7"/>
        </w:numPr>
      </w:pPr>
      <w:r>
        <w:t>Re-Appoint to the Emeritus Staff with NO Clinical Privileges and no need to further renew your Medical License</w:t>
      </w:r>
    </w:p>
    <w:p w14:paraId="5B9CC2FE" w14:textId="581EB9DA" w:rsidR="0096302F" w:rsidRDefault="0096302F" w:rsidP="001F4215">
      <w:pPr>
        <w:pStyle w:val="ListParagraph"/>
        <w:numPr>
          <w:ilvl w:val="1"/>
          <w:numId w:val="7"/>
        </w:numPr>
      </w:pPr>
      <w:r>
        <w:t>You are still considered a Member of the Medical Staff and you will not need to re-appoint thereafter</w:t>
      </w:r>
    </w:p>
    <w:p w14:paraId="2DCCD29D" w14:textId="0A0AFBAD" w:rsidR="009A795C" w:rsidRDefault="009A795C" w:rsidP="001F4215">
      <w:pPr>
        <w:pStyle w:val="ListParagraph"/>
        <w:numPr>
          <w:ilvl w:val="1"/>
          <w:numId w:val="7"/>
        </w:numPr>
      </w:pPr>
      <w:r>
        <w:t>In this category you may only give general clinical advice about non-specific patient cohorts</w:t>
      </w:r>
    </w:p>
    <w:p w14:paraId="7517A89C" w14:textId="27B77AD8" w:rsidR="008217EF" w:rsidRDefault="008217EF" w:rsidP="008217EF">
      <w:pPr>
        <w:pStyle w:val="ListParagraph"/>
        <w:numPr>
          <w:ilvl w:val="1"/>
          <w:numId w:val="7"/>
        </w:numPr>
        <w:rPr>
          <w:bCs/>
          <w:iCs/>
        </w:rPr>
      </w:pPr>
      <w:r w:rsidRPr="008217EF">
        <w:rPr>
          <w:bCs/>
          <w:iCs/>
        </w:rPr>
        <w:t>May attend conferences where patients are discussed but may not offer specific advice on a specific patient impacting the direction of the care under discussion</w:t>
      </w:r>
    </w:p>
    <w:p w14:paraId="44F07C5F" w14:textId="09997749" w:rsidR="00782FF9" w:rsidRDefault="00782FF9" w:rsidP="008217EF">
      <w:pPr>
        <w:pStyle w:val="ListParagraph"/>
        <w:numPr>
          <w:ilvl w:val="1"/>
          <w:numId w:val="7"/>
        </w:numPr>
        <w:rPr>
          <w:bCs/>
          <w:iCs/>
        </w:rPr>
      </w:pPr>
      <w:r>
        <w:rPr>
          <w:bCs/>
          <w:iCs/>
        </w:rPr>
        <w:t>Didactic teaching only, no bedside teaching</w:t>
      </w:r>
      <w:r w:rsidR="00745DA4">
        <w:rPr>
          <w:bCs/>
          <w:iCs/>
        </w:rPr>
        <w:t>; for which you may obtain CRICO Teaching Coverage</w:t>
      </w:r>
    </w:p>
    <w:p w14:paraId="1CB950E9" w14:textId="12DFD6A8" w:rsidR="00782FF9" w:rsidRPr="008217EF" w:rsidRDefault="00782FF9" w:rsidP="008217EF">
      <w:pPr>
        <w:pStyle w:val="ListParagraph"/>
        <w:numPr>
          <w:ilvl w:val="1"/>
          <w:numId w:val="7"/>
        </w:numPr>
        <w:rPr>
          <w:bCs/>
          <w:iCs/>
        </w:rPr>
      </w:pPr>
      <w:r>
        <w:rPr>
          <w:bCs/>
          <w:iCs/>
        </w:rPr>
        <w:t>Shall not have access to the Medical Record (in any capacity)</w:t>
      </w:r>
    </w:p>
    <w:p w14:paraId="14F2718C" w14:textId="38419DC4" w:rsidR="009A795C" w:rsidRDefault="009A795C" w:rsidP="009A795C">
      <w:pPr>
        <w:pStyle w:val="ListParagraph"/>
      </w:pPr>
      <w:r>
        <w:t>OR</w:t>
      </w:r>
    </w:p>
    <w:p w14:paraId="27F1726D" w14:textId="17CEA77B" w:rsidR="0096302F" w:rsidRDefault="0096302F" w:rsidP="001F4215">
      <w:pPr>
        <w:pStyle w:val="ListParagraph"/>
        <w:numPr>
          <w:ilvl w:val="0"/>
          <w:numId w:val="7"/>
        </w:numPr>
      </w:pPr>
      <w:r>
        <w:t>Choose to relinquish your Medical Staff appointment and you are no longer a member</w:t>
      </w:r>
      <w:r w:rsidR="001F4215">
        <w:t xml:space="preserve"> of the Medical Staff</w:t>
      </w:r>
    </w:p>
    <w:p w14:paraId="6DFBC60A" w14:textId="42B941D1" w:rsidR="001F4215" w:rsidRPr="001F4215" w:rsidRDefault="001F4215" w:rsidP="001F4215">
      <w:pPr>
        <w:rPr>
          <w:i/>
        </w:rPr>
      </w:pPr>
      <w:r w:rsidRPr="001F4215">
        <w:rPr>
          <w:i/>
        </w:rPr>
        <w:t>*Note, you may maintain an Active Staff appointment so long as you maintain your facul</w:t>
      </w:r>
      <w:r w:rsidR="009A795C">
        <w:rPr>
          <w:i/>
        </w:rPr>
        <w:t>ty appointment at HMS and with s</w:t>
      </w:r>
      <w:r w:rsidRPr="001F4215">
        <w:rPr>
          <w:i/>
        </w:rPr>
        <w:t>upport of</w:t>
      </w:r>
      <w:r w:rsidR="009A795C">
        <w:rPr>
          <w:i/>
        </w:rPr>
        <w:t xml:space="preserve"> your Department/Division Chief</w:t>
      </w:r>
    </w:p>
    <w:p w14:paraId="5A67D6F7" w14:textId="56AB21D4" w:rsidR="001F4215" w:rsidRPr="009A795C" w:rsidRDefault="00BF2CA0" w:rsidP="001F4215">
      <w:pPr>
        <w:contextualSpacing/>
        <w:jc w:val="center"/>
        <w:rPr>
          <w:b/>
        </w:rPr>
      </w:pPr>
      <w:r>
        <w:rPr>
          <w:b/>
        </w:rPr>
        <w:t xml:space="preserve"> </w:t>
      </w:r>
    </w:p>
    <w:p w14:paraId="4E920D43" w14:textId="347728E0" w:rsidR="00F046B1" w:rsidRDefault="00F046B1">
      <w:pPr>
        <w:contextualSpacing/>
      </w:pPr>
      <w:r>
        <w:t>__________________________________________________________________________</w:t>
      </w:r>
    </w:p>
    <w:p w14:paraId="61815979" w14:textId="2DEECE6B" w:rsidR="000F458D" w:rsidRPr="00BC66FD" w:rsidRDefault="002765DC" w:rsidP="00BC66FD">
      <w:pPr>
        <w:pStyle w:val="NormalWeb"/>
        <w:contextualSpacing/>
        <w:rPr>
          <w:rFonts w:asciiTheme="minorHAnsi" w:hAnsiTheme="minorHAnsi" w:cstheme="minorHAnsi"/>
          <w:color w:val="000000"/>
          <w:sz w:val="22"/>
          <w:szCs w:val="22"/>
        </w:rPr>
      </w:pPr>
      <w:r>
        <w:rPr>
          <w:rFonts w:asciiTheme="minorHAnsi" w:hAnsiTheme="minorHAnsi" w:cstheme="minorHAnsi"/>
          <w:color w:val="000000"/>
          <w:sz w:val="22"/>
          <w:szCs w:val="22"/>
        </w:rPr>
        <w:t>**</w:t>
      </w:r>
      <w:r w:rsidR="000E682E">
        <w:rPr>
          <w:rFonts w:asciiTheme="minorHAnsi" w:hAnsiTheme="minorHAnsi" w:cstheme="minorHAnsi"/>
          <w:color w:val="000000"/>
          <w:sz w:val="22"/>
          <w:szCs w:val="22"/>
        </w:rPr>
        <w:t>Transitioning</w:t>
      </w:r>
      <w:r w:rsidR="000F458D" w:rsidRPr="00BC66FD">
        <w:rPr>
          <w:rFonts w:asciiTheme="minorHAnsi" w:hAnsiTheme="minorHAnsi" w:cstheme="minorHAnsi"/>
          <w:color w:val="000000"/>
          <w:sz w:val="22"/>
          <w:szCs w:val="22"/>
        </w:rPr>
        <w:t xml:space="preserve"> Consulting &amp; Teaching Privileges:</w:t>
      </w:r>
    </w:p>
    <w:p w14:paraId="3A525AE9" w14:textId="3DE17373" w:rsidR="000F458D" w:rsidRPr="00BC66FD" w:rsidRDefault="000F458D" w:rsidP="00BC66FD">
      <w:pPr>
        <w:pStyle w:val="NormalWeb"/>
        <w:numPr>
          <w:ilvl w:val="0"/>
          <w:numId w:val="15"/>
        </w:numPr>
        <w:contextualSpacing/>
        <w:rPr>
          <w:rFonts w:asciiTheme="minorHAnsi" w:hAnsiTheme="minorHAnsi" w:cstheme="minorHAnsi"/>
          <w:color w:val="000000"/>
          <w:sz w:val="22"/>
          <w:szCs w:val="22"/>
        </w:rPr>
      </w:pPr>
      <w:r w:rsidRPr="00BC66FD">
        <w:rPr>
          <w:rFonts w:asciiTheme="minorHAnsi" w:hAnsiTheme="minorHAnsi" w:cstheme="minorHAnsi"/>
          <w:color w:val="000000"/>
          <w:sz w:val="22"/>
          <w:szCs w:val="22"/>
        </w:rPr>
        <w:t>Clinical consulting to other Medical Staff Members of specific patient diseases or conditions in the field of their primary specialty, which may directly impact the treatment or care plan.</w:t>
      </w:r>
    </w:p>
    <w:p w14:paraId="04768254" w14:textId="702A0281" w:rsidR="000F458D" w:rsidRPr="00BC66FD" w:rsidRDefault="000F458D" w:rsidP="00BC66FD">
      <w:pPr>
        <w:pStyle w:val="NormalWeb"/>
        <w:numPr>
          <w:ilvl w:val="0"/>
          <w:numId w:val="15"/>
        </w:numPr>
        <w:contextualSpacing/>
        <w:rPr>
          <w:rFonts w:asciiTheme="minorHAnsi" w:hAnsiTheme="minorHAnsi" w:cstheme="minorHAnsi"/>
          <w:color w:val="000000"/>
          <w:sz w:val="22"/>
          <w:szCs w:val="22"/>
        </w:rPr>
      </w:pPr>
      <w:r w:rsidRPr="00BC66FD">
        <w:rPr>
          <w:rFonts w:asciiTheme="minorHAnsi" w:hAnsiTheme="minorHAnsi" w:cstheme="minorHAnsi"/>
          <w:color w:val="000000"/>
          <w:sz w:val="22"/>
          <w:szCs w:val="22"/>
        </w:rPr>
        <w:t xml:space="preserve">Clinical teaching of medical students, interns, residents and </w:t>
      </w:r>
      <w:r w:rsidR="00104F76">
        <w:rPr>
          <w:rFonts w:asciiTheme="minorHAnsi" w:hAnsiTheme="minorHAnsi" w:cstheme="minorHAnsi"/>
          <w:color w:val="000000"/>
          <w:sz w:val="22"/>
          <w:szCs w:val="22"/>
        </w:rPr>
        <w:t xml:space="preserve">fellows, and peers </w:t>
      </w:r>
      <w:r w:rsidRPr="00BC66FD">
        <w:rPr>
          <w:rFonts w:asciiTheme="minorHAnsi" w:hAnsiTheme="minorHAnsi" w:cstheme="minorHAnsi"/>
          <w:color w:val="000000"/>
          <w:sz w:val="22"/>
          <w:szCs w:val="22"/>
        </w:rPr>
        <w:t>in an inpatient or outpatient setting and attendance at conferences and rounds for the purposes of education.</w:t>
      </w:r>
    </w:p>
    <w:p w14:paraId="51727049" w14:textId="77777777" w:rsidR="000F458D" w:rsidRPr="00BC66FD" w:rsidRDefault="000F458D" w:rsidP="00BC66FD">
      <w:pPr>
        <w:pStyle w:val="NormalWeb"/>
        <w:contextualSpacing/>
        <w:rPr>
          <w:rFonts w:asciiTheme="minorHAnsi" w:hAnsiTheme="minorHAnsi" w:cstheme="minorHAnsi"/>
          <w:color w:val="000000"/>
          <w:sz w:val="22"/>
          <w:szCs w:val="22"/>
        </w:rPr>
      </w:pPr>
      <w:r w:rsidRPr="00BC66FD">
        <w:rPr>
          <w:rFonts w:asciiTheme="minorHAnsi" w:hAnsiTheme="minorHAnsi" w:cstheme="minorHAnsi"/>
          <w:color w:val="000000"/>
          <w:sz w:val="22"/>
          <w:szCs w:val="22"/>
        </w:rPr>
        <w:t>Includes:</w:t>
      </w:r>
    </w:p>
    <w:p w14:paraId="2E4A7AF6" w14:textId="6C88D757" w:rsidR="000F458D" w:rsidRPr="00BC66FD" w:rsidRDefault="000F458D" w:rsidP="00BC66FD">
      <w:pPr>
        <w:pStyle w:val="NormalWeb"/>
        <w:numPr>
          <w:ilvl w:val="0"/>
          <w:numId w:val="12"/>
        </w:numPr>
        <w:contextualSpacing/>
        <w:rPr>
          <w:rFonts w:asciiTheme="minorHAnsi" w:hAnsiTheme="minorHAnsi" w:cstheme="minorHAnsi"/>
          <w:color w:val="000000"/>
          <w:sz w:val="22"/>
          <w:szCs w:val="22"/>
        </w:rPr>
      </w:pPr>
      <w:r w:rsidRPr="00BC66FD">
        <w:rPr>
          <w:rFonts w:asciiTheme="minorHAnsi" w:hAnsiTheme="minorHAnsi" w:cstheme="minorHAnsi"/>
          <w:color w:val="000000"/>
          <w:sz w:val="22"/>
          <w:szCs w:val="22"/>
        </w:rPr>
        <w:t>Render</w:t>
      </w:r>
      <w:r w:rsidR="00BF2CA0">
        <w:rPr>
          <w:rFonts w:asciiTheme="minorHAnsi" w:hAnsiTheme="minorHAnsi" w:cstheme="minorHAnsi"/>
          <w:color w:val="000000"/>
          <w:sz w:val="22"/>
          <w:szCs w:val="22"/>
        </w:rPr>
        <w:t>ing</w:t>
      </w:r>
      <w:r w:rsidRPr="00BC66FD">
        <w:rPr>
          <w:rFonts w:asciiTheme="minorHAnsi" w:hAnsiTheme="minorHAnsi" w:cstheme="minorHAnsi"/>
          <w:color w:val="000000"/>
          <w:sz w:val="22"/>
          <w:szCs w:val="22"/>
        </w:rPr>
        <w:t xml:space="preserve"> an opinion on a patient’s care or care plan as part of a discussion with another physician or care team but no direct patient contact.</w:t>
      </w:r>
    </w:p>
    <w:p w14:paraId="7A5BEC0E" w14:textId="607582B2" w:rsidR="000F458D" w:rsidRPr="00BC66FD" w:rsidRDefault="000F458D" w:rsidP="00BC66FD">
      <w:pPr>
        <w:pStyle w:val="NormalWeb"/>
        <w:numPr>
          <w:ilvl w:val="0"/>
          <w:numId w:val="12"/>
        </w:numPr>
        <w:contextualSpacing/>
        <w:rPr>
          <w:rFonts w:asciiTheme="minorHAnsi" w:hAnsiTheme="minorHAnsi" w:cstheme="minorHAnsi"/>
          <w:color w:val="000000"/>
          <w:sz w:val="22"/>
          <w:szCs w:val="22"/>
        </w:rPr>
      </w:pPr>
      <w:r w:rsidRPr="00BC66FD">
        <w:rPr>
          <w:rFonts w:asciiTheme="minorHAnsi" w:hAnsiTheme="minorHAnsi" w:cstheme="minorHAnsi"/>
          <w:color w:val="000000"/>
          <w:sz w:val="22"/>
          <w:szCs w:val="22"/>
        </w:rPr>
        <w:t>Read-only access to the Medical Record for the purposes of formulating their opinion, if so directed by the treating provider(s).</w:t>
      </w:r>
    </w:p>
    <w:p w14:paraId="751DD81D" w14:textId="6225445A" w:rsidR="00E668DD" w:rsidRPr="00E668DD" w:rsidRDefault="000F458D" w:rsidP="00BC66FD">
      <w:pPr>
        <w:pStyle w:val="NormalWeb"/>
        <w:numPr>
          <w:ilvl w:val="0"/>
          <w:numId w:val="12"/>
        </w:numPr>
        <w:contextualSpacing/>
        <w:rPr>
          <w:rFonts w:cstheme="minorHAnsi"/>
        </w:rPr>
      </w:pPr>
      <w:r w:rsidRPr="00BC66FD">
        <w:rPr>
          <w:rFonts w:asciiTheme="minorHAnsi" w:hAnsiTheme="minorHAnsi" w:cstheme="minorHAnsi"/>
          <w:color w:val="000000"/>
          <w:sz w:val="22"/>
          <w:szCs w:val="22"/>
        </w:rPr>
        <w:t>The evaluation, performance and/or supervision of a history and physical examination and medical record access including a review of all available data for the purposes of teaching (read-only).</w:t>
      </w:r>
      <w:r w:rsidR="00E668DD">
        <w:rPr>
          <w:rFonts w:asciiTheme="minorHAnsi" w:hAnsiTheme="minorHAnsi" w:cstheme="minorHAnsi"/>
          <w:color w:val="000000"/>
          <w:sz w:val="22"/>
          <w:szCs w:val="22"/>
        </w:rPr>
        <w:t xml:space="preserve"> </w:t>
      </w:r>
      <w:r w:rsidR="00BF2CA0">
        <w:rPr>
          <w:rFonts w:asciiTheme="minorHAnsi" w:hAnsiTheme="minorHAnsi" w:cstheme="minorHAnsi"/>
          <w:color w:val="000000"/>
          <w:sz w:val="22"/>
          <w:szCs w:val="22"/>
        </w:rPr>
        <w:t>The physician s</w:t>
      </w:r>
      <w:r w:rsidRPr="00BC66FD">
        <w:rPr>
          <w:rFonts w:asciiTheme="minorHAnsi" w:hAnsiTheme="minorHAnsi" w:cstheme="minorHAnsi"/>
          <w:color w:val="000000"/>
          <w:sz w:val="22"/>
          <w:szCs w:val="22"/>
        </w:rPr>
        <w:t>hall not treat, order/prescribe, evaluate and/or diagnose specific patients for the provision of clinical care.</w:t>
      </w:r>
      <w:r w:rsidR="00E668DD" w:rsidRPr="00E668DD">
        <w:rPr>
          <w:rFonts w:asciiTheme="minorHAnsi" w:hAnsiTheme="minorHAnsi" w:cstheme="minorHAnsi"/>
        </w:rPr>
        <w:t xml:space="preserve"> </w:t>
      </w:r>
      <w:r w:rsidR="0069708D">
        <w:rPr>
          <w:rFonts w:asciiTheme="minorHAnsi" w:hAnsiTheme="minorHAnsi" w:cstheme="minorHAnsi"/>
        </w:rPr>
        <w:t>C</w:t>
      </w:r>
      <w:r w:rsidR="00E668DD" w:rsidRPr="00E668DD">
        <w:rPr>
          <w:rFonts w:asciiTheme="minorHAnsi" w:hAnsiTheme="minorHAnsi" w:cstheme="minorHAnsi"/>
        </w:rPr>
        <w:t xml:space="preserve">onferences or individual clinical discussions (for example, in curbside consults) do not establish a </w:t>
      </w:r>
      <w:r w:rsidR="0065772D">
        <w:rPr>
          <w:rFonts w:asciiTheme="minorHAnsi" w:hAnsiTheme="minorHAnsi" w:cstheme="minorHAnsi"/>
        </w:rPr>
        <w:t>“</w:t>
      </w:r>
      <w:r w:rsidR="0069708D">
        <w:rPr>
          <w:rFonts w:asciiTheme="minorHAnsi" w:hAnsiTheme="minorHAnsi" w:cstheme="minorHAnsi"/>
        </w:rPr>
        <w:t xml:space="preserve">patient-doctor </w:t>
      </w:r>
      <w:r w:rsidR="00E668DD" w:rsidRPr="00E668DD">
        <w:rPr>
          <w:rFonts w:asciiTheme="minorHAnsi" w:hAnsiTheme="minorHAnsi" w:cstheme="minorHAnsi"/>
        </w:rPr>
        <w:t>relationship.”</w:t>
      </w:r>
    </w:p>
    <w:p w14:paraId="31700118" w14:textId="14F8D3BD" w:rsidR="000F458D" w:rsidRDefault="000F458D" w:rsidP="00BC66FD">
      <w:pPr>
        <w:pStyle w:val="NormalWeb"/>
        <w:contextualSpacing/>
        <w:rPr>
          <w:rFonts w:ascii="Arial" w:hAnsi="Arial" w:cs="Arial"/>
          <w:color w:val="000000"/>
          <w:sz w:val="22"/>
          <w:szCs w:val="22"/>
        </w:rPr>
      </w:pPr>
    </w:p>
    <w:tbl>
      <w:tblPr>
        <w:tblStyle w:val="TableGrid"/>
        <w:tblW w:w="0" w:type="auto"/>
        <w:tblLook w:val="04A0" w:firstRow="1" w:lastRow="0" w:firstColumn="1" w:lastColumn="0" w:noHBand="0" w:noVBand="1"/>
      </w:tblPr>
      <w:tblGrid>
        <w:gridCol w:w="1626"/>
        <w:gridCol w:w="1403"/>
        <w:gridCol w:w="1641"/>
        <w:gridCol w:w="1558"/>
        <w:gridCol w:w="1570"/>
        <w:gridCol w:w="1552"/>
      </w:tblGrid>
      <w:tr w:rsidR="000E682E" w14:paraId="44B3237E" w14:textId="77777777" w:rsidTr="00215A8C">
        <w:trPr>
          <w:tblHeader/>
        </w:trPr>
        <w:tc>
          <w:tcPr>
            <w:tcW w:w="1626" w:type="dxa"/>
          </w:tcPr>
          <w:p w14:paraId="28FFCDA9" w14:textId="77777777" w:rsidR="00C87546" w:rsidRDefault="00C87546" w:rsidP="00215A8C">
            <w:pPr>
              <w:contextualSpacing/>
            </w:pPr>
            <w:r>
              <w:lastRenderedPageBreak/>
              <w:t>Staff Category</w:t>
            </w:r>
          </w:p>
        </w:tc>
        <w:tc>
          <w:tcPr>
            <w:tcW w:w="1403" w:type="dxa"/>
          </w:tcPr>
          <w:p w14:paraId="78818291" w14:textId="77777777" w:rsidR="00C87546" w:rsidRDefault="00C87546" w:rsidP="00215A8C">
            <w:pPr>
              <w:contextualSpacing/>
            </w:pPr>
            <w:r>
              <w:t>Privileges</w:t>
            </w:r>
          </w:p>
        </w:tc>
        <w:tc>
          <w:tcPr>
            <w:tcW w:w="1641" w:type="dxa"/>
          </w:tcPr>
          <w:p w14:paraId="1B7ADB08" w14:textId="77777777" w:rsidR="00C87546" w:rsidRDefault="00C87546" w:rsidP="00215A8C">
            <w:pPr>
              <w:contextualSpacing/>
            </w:pPr>
            <w:r>
              <w:t>Licensure Req?</w:t>
            </w:r>
          </w:p>
        </w:tc>
        <w:tc>
          <w:tcPr>
            <w:tcW w:w="1558" w:type="dxa"/>
          </w:tcPr>
          <w:p w14:paraId="53317A2D" w14:textId="77777777" w:rsidR="00C87546" w:rsidRDefault="00C87546" w:rsidP="00215A8C">
            <w:pPr>
              <w:contextualSpacing/>
            </w:pPr>
            <w:r>
              <w:t>CRICO</w:t>
            </w:r>
          </w:p>
        </w:tc>
        <w:tc>
          <w:tcPr>
            <w:tcW w:w="1570" w:type="dxa"/>
          </w:tcPr>
          <w:p w14:paraId="2C28FA00" w14:textId="77777777" w:rsidR="00C87546" w:rsidRDefault="00C87546" w:rsidP="00215A8C">
            <w:pPr>
              <w:contextualSpacing/>
            </w:pPr>
            <w:r>
              <w:t>EMR Access</w:t>
            </w:r>
          </w:p>
        </w:tc>
        <w:tc>
          <w:tcPr>
            <w:tcW w:w="1552" w:type="dxa"/>
          </w:tcPr>
          <w:p w14:paraId="3B0B89D2" w14:textId="77777777" w:rsidR="00C87546" w:rsidRDefault="00C87546" w:rsidP="00215A8C">
            <w:pPr>
              <w:contextualSpacing/>
            </w:pPr>
            <w:r>
              <w:t>Board Cert Req?</w:t>
            </w:r>
          </w:p>
        </w:tc>
      </w:tr>
      <w:tr w:rsidR="000E682E" w14:paraId="7EAB06A0" w14:textId="77777777" w:rsidTr="00215A8C">
        <w:tc>
          <w:tcPr>
            <w:tcW w:w="1626" w:type="dxa"/>
          </w:tcPr>
          <w:p w14:paraId="27656953" w14:textId="77777777" w:rsidR="00C87546" w:rsidRDefault="00C87546" w:rsidP="00215A8C">
            <w:pPr>
              <w:contextualSpacing/>
            </w:pPr>
            <w:r>
              <w:t>Active Staff</w:t>
            </w:r>
          </w:p>
        </w:tc>
        <w:tc>
          <w:tcPr>
            <w:tcW w:w="1403" w:type="dxa"/>
          </w:tcPr>
          <w:p w14:paraId="788652BE" w14:textId="77777777" w:rsidR="00C87546" w:rsidRDefault="00C87546" w:rsidP="00215A8C">
            <w:pPr>
              <w:contextualSpacing/>
            </w:pPr>
            <w:r>
              <w:t>Specialty Privileges (Full or Reduced)</w:t>
            </w:r>
          </w:p>
        </w:tc>
        <w:tc>
          <w:tcPr>
            <w:tcW w:w="1641" w:type="dxa"/>
          </w:tcPr>
          <w:p w14:paraId="542128B3" w14:textId="77777777" w:rsidR="00C87546" w:rsidRDefault="00C87546" w:rsidP="00215A8C">
            <w:pPr>
              <w:contextualSpacing/>
            </w:pPr>
            <w:r>
              <w:t>Yes</w:t>
            </w:r>
          </w:p>
        </w:tc>
        <w:tc>
          <w:tcPr>
            <w:tcW w:w="1558" w:type="dxa"/>
          </w:tcPr>
          <w:p w14:paraId="1723479A" w14:textId="77777777" w:rsidR="00C87546" w:rsidRDefault="00C87546" w:rsidP="00215A8C">
            <w:pPr>
              <w:contextualSpacing/>
            </w:pPr>
            <w:r>
              <w:t>Specialty CRICO</w:t>
            </w:r>
          </w:p>
        </w:tc>
        <w:tc>
          <w:tcPr>
            <w:tcW w:w="1570" w:type="dxa"/>
          </w:tcPr>
          <w:p w14:paraId="3F7E99FD" w14:textId="77777777" w:rsidR="00C87546" w:rsidRDefault="00C87546" w:rsidP="00215A8C">
            <w:pPr>
              <w:contextualSpacing/>
            </w:pPr>
            <w:r>
              <w:t>Yes</w:t>
            </w:r>
          </w:p>
        </w:tc>
        <w:tc>
          <w:tcPr>
            <w:tcW w:w="1552" w:type="dxa"/>
          </w:tcPr>
          <w:p w14:paraId="76E65DD7" w14:textId="77777777" w:rsidR="00C87546" w:rsidRDefault="00C87546" w:rsidP="00215A8C">
            <w:pPr>
              <w:contextualSpacing/>
            </w:pPr>
            <w:r>
              <w:t>Yes</w:t>
            </w:r>
          </w:p>
        </w:tc>
      </w:tr>
      <w:tr w:rsidR="000E682E" w14:paraId="564B90E4" w14:textId="77777777" w:rsidTr="00215A8C">
        <w:tc>
          <w:tcPr>
            <w:tcW w:w="1626" w:type="dxa"/>
          </w:tcPr>
          <w:p w14:paraId="022A1C58" w14:textId="77777777" w:rsidR="00C87546" w:rsidRDefault="00C87546" w:rsidP="00215A8C">
            <w:pPr>
              <w:contextualSpacing/>
            </w:pPr>
            <w:r>
              <w:t>Active Staff</w:t>
            </w:r>
          </w:p>
        </w:tc>
        <w:tc>
          <w:tcPr>
            <w:tcW w:w="1403" w:type="dxa"/>
          </w:tcPr>
          <w:p w14:paraId="248E04F5" w14:textId="5A34064C" w:rsidR="00C87546" w:rsidRDefault="000E682E" w:rsidP="00215A8C">
            <w:pPr>
              <w:contextualSpacing/>
            </w:pPr>
            <w:r>
              <w:t xml:space="preserve">Transitioning </w:t>
            </w:r>
            <w:r w:rsidR="00C87546">
              <w:t>Teaching &amp; Consulting</w:t>
            </w:r>
          </w:p>
        </w:tc>
        <w:tc>
          <w:tcPr>
            <w:tcW w:w="1641" w:type="dxa"/>
          </w:tcPr>
          <w:p w14:paraId="7760EC31" w14:textId="77777777" w:rsidR="00C87546" w:rsidRDefault="00C87546" w:rsidP="00215A8C">
            <w:pPr>
              <w:contextualSpacing/>
            </w:pPr>
            <w:r>
              <w:t>Yes</w:t>
            </w:r>
          </w:p>
        </w:tc>
        <w:tc>
          <w:tcPr>
            <w:tcW w:w="1558" w:type="dxa"/>
          </w:tcPr>
          <w:p w14:paraId="5C5205B1" w14:textId="77777777" w:rsidR="00C87546" w:rsidRDefault="00C87546" w:rsidP="00215A8C">
            <w:pPr>
              <w:contextualSpacing/>
            </w:pPr>
            <w:r>
              <w:t>Teaching CRICO</w:t>
            </w:r>
          </w:p>
        </w:tc>
        <w:tc>
          <w:tcPr>
            <w:tcW w:w="1570" w:type="dxa"/>
          </w:tcPr>
          <w:p w14:paraId="51B134BC" w14:textId="77777777" w:rsidR="00C87546" w:rsidRDefault="00C87546" w:rsidP="00215A8C">
            <w:pPr>
              <w:contextualSpacing/>
            </w:pPr>
            <w:r>
              <w:t>Read-Only</w:t>
            </w:r>
          </w:p>
        </w:tc>
        <w:tc>
          <w:tcPr>
            <w:tcW w:w="1552" w:type="dxa"/>
          </w:tcPr>
          <w:p w14:paraId="1640FD8C" w14:textId="77777777" w:rsidR="00C87546" w:rsidRDefault="00C87546" w:rsidP="00215A8C">
            <w:pPr>
              <w:contextualSpacing/>
            </w:pPr>
            <w:r>
              <w:t>No</w:t>
            </w:r>
          </w:p>
        </w:tc>
      </w:tr>
      <w:tr w:rsidR="000E682E" w14:paraId="022BAA7C" w14:textId="77777777" w:rsidTr="00215A8C">
        <w:tc>
          <w:tcPr>
            <w:tcW w:w="1626" w:type="dxa"/>
          </w:tcPr>
          <w:p w14:paraId="2C025B0A" w14:textId="77777777" w:rsidR="00C87546" w:rsidRDefault="00C87546" w:rsidP="00215A8C">
            <w:pPr>
              <w:contextualSpacing/>
            </w:pPr>
            <w:r>
              <w:t>Affiliate Staff</w:t>
            </w:r>
          </w:p>
        </w:tc>
        <w:tc>
          <w:tcPr>
            <w:tcW w:w="1403" w:type="dxa"/>
          </w:tcPr>
          <w:p w14:paraId="716B4ACC" w14:textId="77777777" w:rsidR="00C87546" w:rsidRDefault="00C87546" w:rsidP="00215A8C">
            <w:pPr>
              <w:contextualSpacing/>
            </w:pPr>
            <w:r>
              <w:t>Specialty Privileges (Full or Reduced)</w:t>
            </w:r>
          </w:p>
        </w:tc>
        <w:tc>
          <w:tcPr>
            <w:tcW w:w="1641" w:type="dxa"/>
          </w:tcPr>
          <w:p w14:paraId="3C216ED8" w14:textId="77777777" w:rsidR="00C87546" w:rsidRDefault="00C87546" w:rsidP="00215A8C">
            <w:pPr>
              <w:contextualSpacing/>
            </w:pPr>
            <w:r>
              <w:t>Yes</w:t>
            </w:r>
          </w:p>
        </w:tc>
        <w:tc>
          <w:tcPr>
            <w:tcW w:w="1558" w:type="dxa"/>
          </w:tcPr>
          <w:p w14:paraId="69A61C53" w14:textId="77777777" w:rsidR="00C87546" w:rsidRDefault="00C87546" w:rsidP="00215A8C">
            <w:pPr>
              <w:contextualSpacing/>
            </w:pPr>
            <w:r>
              <w:t>Specialty CRICO</w:t>
            </w:r>
          </w:p>
        </w:tc>
        <w:tc>
          <w:tcPr>
            <w:tcW w:w="1570" w:type="dxa"/>
          </w:tcPr>
          <w:p w14:paraId="24997D69" w14:textId="77777777" w:rsidR="00C87546" w:rsidRDefault="00C87546" w:rsidP="00215A8C">
            <w:pPr>
              <w:contextualSpacing/>
            </w:pPr>
            <w:r>
              <w:t>Yes</w:t>
            </w:r>
          </w:p>
        </w:tc>
        <w:tc>
          <w:tcPr>
            <w:tcW w:w="1552" w:type="dxa"/>
          </w:tcPr>
          <w:p w14:paraId="2F6CF625" w14:textId="77777777" w:rsidR="00C87546" w:rsidRDefault="00C87546" w:rsidP="00215A8C">
            <w:pPr>
              <w:contextualSpacing/>
            </w:pPr>
            <w:r>
              <w:t>Yes</w:t>
            </w:r>
          </w:p>
        </w:tc>
      </w:tr>
      <w:tr w:rsidR="000E682E" w14:paraId="1A681B0D" w14:textId="77777777" w:rsidTr="00215A8C">
        <w:tc>
          <w:tcPr>
            <w:tcW w:w="1626" w:type="dxa"/>
          </w:tcPr>
          <w:p w14:paraId="6037FDA2" w14:textId="77777777" w:rsidR="00C87546" w:rsidRDefault="00C87546" w:rsidP="00215A8C">
            <w:pPr>
              <w:contextualSpacing/>
            </w:pPr>
            <w:r>
              <w:t>Affiliate Staff</w:t>
            </w:r>
          </w:p>
        </w:tc>
        <w:tc>
          <w:tcPr>
            <w:tcW w:w="1403" w:type="dxa"/>
          </w:tcPr>
          <w:p w14:paraId="5F0A1E99" w14:textId="65C07E71" w:rsidR="00C87546" w:rsidRDefault="000E682E" w:rsidP="00215A8C">
            <w:pPr>
              <w:contextualSpacing/>
            </w:pPr>
            <w:r>
              <w:t xml:space="preserve">Transitioning </w:t>
            </w:r>
            <w:r w:rsidR="00C87546">
              <w:t>Teaching &amp; Consulting</w:t>
            </w:r>
          </w:p>
        </w:tc>
        <w:tc>
          <w:tcPr>
            <w:tcW w:w="1641" w:type="dxa"/>
          </w:tcPr>
          <w:p w14:paraId="2244AFE5" w14:textId="77777777" w:rsidR="00C87546" w:rsidRDefault="00C87546" w:rsidP="00215A8C">
            <w:pPr>
              <w:contextualSpacing/>
            </w:pPr>
            <w:r>
              <w:t>Yes</w:t>
            </w:r>
          </w:p>
        </w:tc>
        <w:tc>
          <w:tcPr>
            <w:tcW w:w="1558" w:type="dxa"/>
          </w:tcPr>
          <w:p w14:paraId="401CB5A4" w14:textId="77777777" w:rsidR="00C87546" w:rsidRDefault="00C87546" w:rsidP="00215A8C">
            <w:pPr>
              <w:contextualSpacing/>
            </w:pPr>
            <w:r>
              <w:t>Teaching CRICO</w:t>
            </w:r>
          </w:p>
        </w:tc>
        <w:tc>
          <w:tcPr>
            <w:tcW w:w="1570" w:type="dxa"/>
          </w:tcPr>
          <w:p w14:paraId="28711910" w14:textId="77777777" w:rsidR="00C87546" w:rsidRDefault="00C87546" w:rsidP="00215A8C">
            <w:pPr>
              <w:contextualSpacing/>
            </w:pPr>
            <w:r>
              <w:t>Read-Only</w:t>
            </w:r>
          </w:p>
        </w:tc>
        <w:tc>
          <w:tcPr>
            <w:tcW w:w="1552" w:type="dxa"/>
          </w:tcPr>
          <w:p w14:paraId="15DB5567" w14:textId="77777777" w:rsidR="00C87546" w:rsidRDefault="00C87546" w:rsidP="00215A8C">
            <w:pPr>
              <w:contextualSpacing/>
            </w:pPr>
            <w:r>
              <w:t>No</w:t>
            </w:r>
          </w:p>
        </w:tc>
      </w:tr>
      <w:tr w:rsidR="000E682E" w14:paraId="571AC34D" w14:textId="77777777" w:rsidTr="00215A8C">
        <w:tc>
          <w:tcPr>
            <w:tcW w:w="1626" w:type="dxa"/>
          </w:tcPr>
          <w:p w14:paraId="26E271E7" w14:textId="77777777" w:rsidR="00C87546" w:rsidRDefault="00C87546" w:rsidP="00215A8C">
            <w:pPr>
              <w:contextualSpacing/>
            </w:pPr>
            <w:r>
              <w:t>Emeritus Staff</w:t>
            </w:r>
          </w:p>
        </w:tc>
        <w:tc>
          <w:tcPr>
            <w:tcW w:w="1403" w:type="dxa"/>
          </w:tcPr>
          <w:p w14:paraId="58387CE3" w14:textId="77777777" w:rsidR="00C87546" w:rsidRDefault="00C87546" w:rsidP="00215A8C">
            <w:pPr>
              <w:contextualSpacing/>
            </w:pPr>
            <w:r>
              <w:t>None</w:t>
            </w:r>
          </w:p>
        </w:tc>
        <w:tc>
          <w:tcPr>
            <w:tcW w:w="1641" w:type="dxa"/>
          </w:tcPr>
          <w:p w14:paraId="0A1C05BB" w14:textId="77777777" w:rsidR="00C87546" w:rsidRDefault="00C87546" w:rsidP="00215A8C">
            <w:pPr>
              <w:contextualSpacing/>
            </w:pPr>
            <w:r>
              <w:t>No</w:t>
            </w:r>
          </w:p>
        </w:tc>
        <w:tc>
          <w:tcPr>
            <w:tcW w:w="1558" w:type="dxa"/>
          </w:tcPr>
          <w:p w14:paraId="701494AC" w14:textId="77777777" w:rsidR="00C87546" w:rsidRDefault="00C87546" w:rsidP="00215A8C">
            <w:pPr>
              <w:contextualSpacing/>
            </w:pPr>
            <w:r>
              <w:t>Teaching CRICO</w:t>
            </w:r>
          </w:p>
        </w:tc>
        <w:tc>
          <w:tcPr>
            <w:tcW w:w="1570" w:type="dxa"/>
          </w:tcPr>
          <w:p w14:paraId="60987E19" w14:textId="77777777" w:rsidR="00C87546" w:rsidRDefault="00C87546" w:rsidP="00215A8C">
            <w:pPr>
              <w:contextualSpacing/>
            </w:pPr>
            <w:r>
              <w:t>None</w:t>
            </w:r>
          </w:p>
        </w:tc>
        <w:tc>
          <w:tcPr>
            <w:tcW w:w="1552" w:type="dxa"/>
          </w:tcPr>
          <w:p w14:paraId="552A6969" w14:textId="77777777" w:rsidR="00C87546" w:rsidRDefault="00C87546" w:rsidP="00215A8C">
            <w:pPr>
              <w:contextualSpacing/>
            </w:pPr>
            <w:r>
              <w:t>No</w:t>
            </w:r>
          </w:p>
        </w:tc>
      </w:tr>
    </w:tbl>
    <w:p w14:paraId="6B474A71" w14:textId="77777777" w:rsidR="00C87546" w:rsidRDefault="00C87546" w:rsidP="000F458D">
      <w:pPr>
        <w:contextualSpacing/>
        <w:rPr>
          <w:rFonts w:cstheme="minorHAnsi"/>
        </w:rPr>
      </w:pPr>
    </w:p>
    <w:p w14:paraId="14C65C5F" w14:textId="555CFC48" w:rsidR="000F458D" w:rsidRPr="00C87546" w:rsidRDefault="00BF2CA0" w:rsidP="00C87546">
      <w:pPr>
        <w:contextualSpacing/>
        <w:jc w:val="center"/>
        <w:rPr>
          <w:rFonts w:cstheme="minorHAnsi"/>
          <w:b/>
        </w:rPr>
      </w:pPr>
      <w:r w:rsidRPr="00C87546">
        <w:rPr>
          <w:rFonts w:cstheme="minorHAnsi"/>
          <w:b/>
        </w:rPr>
        <w:t>Dr. Jim Kasser, MD and/or Mathieu Gaulin, CPMSM, CPCS are happy to discuss these options with faculty and Department Chairs.</w:t>
      </w:r>
    </w:p>
    <w:p w14:paraId="43984965" w14:textId="77777777" w:rsidR="000F458D" w:rsidRPr="00BC66FD" w:rsidRDefault="000F458D" w:rsidP="000F458D">
      <w:pPr>
        <w:contextualSpacing/>
        <w:rPr>
          <w:rFonts w:ascii="Arial" w:hAnsi="Arial" w:cs="Arial"/>
          <w:b/>
          <w:bCs/>
        </w:rPr>
      </w:pPr>
    </w:p>
    <w:p w14:paraId="0468A568" w14:textId="051B80C8" w:rsidR="001D07DD" w:rsidRPr="00F046B1" w:rsidRDefault="001D07DD" w:rsidP="001D07DD">
      <w:pPr>
        <w:contextualSpacing/>
        <w:rPr>
          <w:b/>
          <w:bCs/>
          <w:u w:val="single"/>
        </w:rPr>
      </w:pPr>
      <w:r w:rsidRPr="00F046B1">
        <w:rPr>
          <w:b/>
          <w:bCs/>
          <w:u w:val="single"/>
        </w:rPr>
        <w:t xml:space="preserve">Maintaining your BCH email </w:t>
      </w:r>
      <w:r w:rsidR="00B64BBF" w:rsidRPr="00F046B1">
        <w:rPr>
          <w:b/>
          <w:bCs/>
          <w:u w:val="single"/>
        </w:rPr>
        <w:t>as a</w:t>
      </w:r>
      <w:r w:rsidRPr="00F046B1">
        <w:rPr>
          <w:b/>
          <w:bCs/>
          <w:u w:val="single"/>
        </w:rPr>
        <w:t xml:space="preserve"> retiring</w:t>
      </w:r>
      <w:r w:rsidR="00B64BBF" w:rsidRPr="00F046B1">
        <w:rPr>
          <w:b/>
          <w:bCs/>
          <w:u w:val="single"/>
        </w:rPr>
        <w:t xml:space="preserve"> or </w:t>
      </w:r>
      <w:r w:rsidRPr="00F046B1">
        <w:rPr>
          <w:b/>
          <w:bCs/>
          <w:u w:val="single"/>
        </w:rPr>
        <w:t>emeritus</w:t>
      </w:r>
      <w:r w:rsidR="00B64BBF" w:rsidRPr="00F046B1">
        <w:rPr>
          <w:b/>
          <w:bCs/>
          <w:u w:val="single"/>
        </w:rPr>
        <w:t>/emerita</w:t>
      </w:r>
      <w:r w:rsidRPr="00F046B1">
        <w:rPr>
          <w:b/>
          <w:bCs/>
          <w:u w:val="single"/>
        </w:rPr>
        <w:t xml:space="preserve"> physician faculty:</w:t>
      </w:r>
    </w:p>
    <w:p w14:paraId="62F9004D" w14:textId="385DBA4D" w:rsidR="001D07DD" w:rsidRDefault="001D07DD" w:rsidP="001D07DD">
      <w:pPr>
        <w:contextualSpacing/>
      </w:pPr>
      <w:r>
        <w:t xml:space="preserve">Discuss with your Chief about your HMS and BCH roles. </w:t>
      </w:r>
    </w:p>
    <w:p w14:paraId="096A5088" w14:textId="26D945FA" w:rsidR="001F4215" w:rsidRDefault="001F4215" w:rsidP="001F4215">
      <w:pPr>
        <w:pStyle w:val="ListParagraph"/>
        <w:numPr>
          <w:ilvl w:val="0"/>
          <w:numId w:val="8"/>
        </w:numPr>
      </w:pPr>
      <w:r>
        <w:t xml:space="preserve">If you are retaining any level of Clinical Privileges, you should maintain the same PeopleSoft/Associated Personnel (AP) Status </w:t>
      </w:r>
    </w:p>
    <w:p w14:paraId="785E4B2E" w14:textId="562493D8" w:rsidR="009A795C" w:rsidRDefault="009A795C" w:rsidP="009A795C">
      <w:pPr>
        <w:pStyle w:val="ListParagraph"/>
        <w:numPr>
          <w:ilvl w:val="1"/>
          <w:numId w:val="8"/>
        </w:numPr>
      </w:pPr>
      <w:r>
        <w:t>If you are changing your clinical privileges necessitating a change in your EMR access (i.e. Read-only), your administrator should submit an OAR form to change your EMR access</w:t>
      </w:r>
    </w:p>
    <w:p w14:paraId="0311347C" w14:textId="77777777" w:rsidR="009A795C" w:rsidRDefault="001F4215" w:rsidP="001D07DD">
      <w:pPr>
        <w:pStyle w:val="ListParagraph"/>
        <w:numPr>
          <w:ilvl w:val="0"/>
          <w:numId w:val="8"/>
        </w:numPr>
      </w:pPr>
      <w:r>
        <w:t xml:space="preserve">If you are transitioning to Emeritus Staff, your Department/Division Administrator should submit a request to change your PeopleSoft status to: </w:t>
      </w:r>
      <w:r w:rsidR="00604C63" w:rsidRPr="001F4215">
        <w:rPr>
          <w:b/>
          <w:bCs/>
          <w:color w:val="242424"/>
          <w:shd w:val="clear" w:color="auto" w:fill="FFFFFF"/>
        </w:rPr>
        <w:t>Affiliated Non-Clinical Staff</w:t>
      </w:r>
      <w:r w:rsidR="00CF4E13" w:rsidRPr="001F4215">
        <w:rPr>
          <w:b/>
          <w:bCs/>
        </w:rPr>
        <w:t>, per diem</w:t>
      </w:r>
      <w:r w:rsidR="001D07DD">
        <w:t xml:space="preserve"> </w:t>
      </w:r>
    </w:p>
    <w:p w14:paraId="1E06DF8B" w14:textId="789D8241" w:rsidR="001D07DD" w:rsidRDefault="009A795C" w:rsidP="001D07DD">
      <w:pPr>
        <w:contextualSpacing/>
      </w:pPr>
      <w:r>
        <w:t>This designation allows you to maintain your BCH</w:t>
      </w:r>
      <w:r w:rsidR="001D07DD">
        <w:t xml:space="preserve"> email</w:t>
      </w:r>
      <w:r w:rsidR="00592822">
        <w:t>, BCH ID</w:t>
      </w:r>
      <w:r w:rsidR="001D07DD">
        <w:t xml:space="preserve"> and </w:t>
      </w:r>
      <w:r w:rsidR="0065772D">
        <w:t xml:space="preserve">access to </w:t>
      </w:r>
      <w:r w:rsidR="00CF4E13">
        <w:t xml:space="preserve">the BCH </w:t>
      </w:r>
      <w:r w:rsidR="001D07DD">
        <w:t>intranet</w:t>
      </w:r>
      <w:r w:rsidR="00604C63">
        <w:t xml:space="preserve">. </w:t>
      </w:r>
    </w:p>
    <w:p w14:paraId="2F6DA3F8" w14:textId="77777777" w:rsidR="001C210D" w:rsidRDefault="001C210D">
      <w:pPr>
        <w:contextualSpacing/>
        <w:rPr>
          <w:b/>
          <w:bCs/>
          <w:u w:val="single"/>
        </w:rPr>
      </w:pPr>
    </w:p>
    <w:p w14:paraId="564EF437" w14:textId="331AEBBC" w:rsidR="002B7448" w:rsidRPr="00F046B1" w:rsidRDefault="006E3377">
      <w:pPr>
        <w:contextualSpacing/>
        <w:rPr>
          <w:b/>
          <w:bCs/>
          <w:u w:val="single"/>
        </w:rPr>
      </w:pPr>
      <w:r w:rsidRPr="00F046B1">
        <w:rPr>
          <w:b/>
          <w:bCs/>
          <w:u w:val="single"/>
        </w:rPr>
        <w:t xml:space="preserve">HMS </w:t>
      </w:r>
      <w:r w:rsidR="00BA6562" w:rsidRPr="00F046B1">
        <w:rPr>
          <w:b/>
          <w:bCs/>
          <w:u w:val="single"/>
        </w:rPr>
        <w:t xml:space="preserve">appointment and </w:t>
      </w:r>
      <w:r w:rsidRPr="00F046B1">
        <w:rPr>
          <w:b/>
          <w:bCs/>
          <w:u w:val="single"/>
        </w:rPr>
        <w:t>access</w:t>
      </w:r>
      <w:r w:rsidR="00BA6562" w:rsidRPr="00F046B1">
        <w:rPr>
          <w:b/>
          <w:bCs/>
          <w:u w:val="single"/>
        </w:rPr>
        <w:t xml:space="preserve"> to </w:t>
      </w:r>
      <w:r w:rsidR="00FB57AA">
        <w:rPr>
          <w:b/>
          <w:bCs/>
          <w:u w:val="single"/>
        </w:rPr>
        <w:t>Harvard</w:t>
      </w:r>
      <w:r w:rsidR="00BA6562" w:rsidRPr="00F046B1">
        <w:rPr>
          <w:b/>
          <w:bCs/>
          <w:u w:val="single"/>
        </w:rPr>
        <w:t xml:space="preserve"> libraries</w:t>
      </w:r>
      <w:r w:rsidR="00FB57AA">
        <w:rPr>
          <w:b/>
          <w:bCs/>
          <w:u w:val="single"/>
        </w:rPr>
        <w:t xml:space="preserve"> and digital resources</w:t>
      </w:r>
      <w:r w:rsidR="00BA6562" w:rsidRPr="00F046B1">
        <w:rPr>
          <w:b/>
          <w:bCs/>
          <w:u w:val="single"/>
        </w:rPr>
        <w:t xml:space="preserve">, </w:t>
      </w:r>
      <w:r w:rsidR="00FB57AA">
        <w:rPr>
          <w:b/>
          <w:bCs/>
          <w:u w:val="single"/>
        </w:rPr>
        <w:t xml:space="preserve">and </w:t>
      </w:r>
      <w:r w:rsidR="00BA6562" w:rsidRPr="00F046B1">
        <w:rPr>
          <w:b/>
          <w:bCs/>
          <w:u w:val="single"/>
        </w:rPr>
        <w:t>educational and cultural events</w:t>
      </w:r>
    </w:p>
    <w:p w14:paraId="3A0421F5" w14:textId="35AD67AD" w:rsidR="00BA6562" w:rsidRDefault="00BA6562" w:rsidP="00BA6562">
      <w:pPr>
        <w:contextualSpacing/>
      </w:pPr>
      <w:r>
        <w:t>The Harvard Medical School appointment will be managed through the original appointing department according to the HMS faculty handbook.</w:t>
      </w:r>
      <w:r w:rsidR="00FB57AA">
        <w:t xml:space="preserve"> An ac</w:t>
      </w:r>
      <w:r w:rsidR="0040560E">
        <w:t>ademic</w:t>
      </w:r>
      <w:r w:rsidR="00FB57AA">
        <w:t xml:space="preserve"> appointment at HMS is needed for faculty</w:t>
      </w:r>
      <w:r>
        <w:t xml:space="preserve"> </w:t>
      </w:r>
      <w:r w:rsidR="00FB57AA">
        <w:t>to maintain access to the Countway Library and digital resources.</w:t>
      </w:r>
      <w:r>
        <w:t xml:space="preserve"> The following is a brief summary of the guidelines for HMS faculty transitioning to retirement:</w:t>
      </w:r>
    </w:p>
    <w:p w14:paraId="79F8A254" w14:textId="2D2FA129" w:rsidR="00BA6562" w:rsidRDefault="00BA6562" w:rsidP="001F4215">
      <w:pPr>
        <w:pStyle w:val="ListParagraph"/>
        <w:numPr>
          <w:ilvl w:val="0"/>
          <w:numId w:val="6"/>
        </w:numPr>
      </w:pPr>
      <w:r w:rsidRPr="002E7B67">
        <w:rPr>
          <w:b/>
          <w:bCs/>
        </w:rPr>
        <w:t>Retiring members of the HMS faculty at a level of Instructor, Assistant Professor, Associate Professor</w:t>
      </w:r>
      <w:r w:rsidR="0040560E">
        <w:rPr>
          <w:b/>
          <w:bCs/>
        </w:rPr>
        <w:t>,</w:t>
      </w:r>
      <w:r w:rsidRPr="002E7B67">
        <w:rPr>
          <w:b/>
          <w:bCs/>
        </w:rPr>
        <w:t xml:space="preserve"> or Professor, Part Time</w:t>
      </w:r>
      <w:r w:rsidR="00FB57AA">
        <w:rPr>
          <w:b/>
          <w:bCs/>
        </w:rPr>
        <w:t>,</w:t>
      </w:r>
      <w:r>
        <w:t xml:space="preserve"> </w:t>
      </w:r>
      <w:r w:rsidR="00FB57AA">
        <w:t xml:space="preserve">who </w:t>
      </w:r>
      <w:r w:rsidR="00FB57AA" w:rsidRPr="00FB57AA">
        <w:t xml:space="preserve">have completed at least ten (10) years of service to Harvard University, reached the age of 60, and will maintain some role in the academic department may transition to </w:t>
      </w:r>
      <w:r w:rsidR="00FB57AA">
        <w:t>“</w:t>
      </w:r>
      <w:r w:rsidR="00FB57AA" w:rsidRPr="00FB57AA">
        <w:t>Corresponding Member of the Faculty</w:t>
      </w:r>
      <w:r w:rsidR="00FB57AA">
        <w:t>”</w:t>
      </w:r>
      <w:r w:rsidR="00FB57AA" w:rsidRPr="00FB57AA">
        <w:t xml:space="preserve"> status at the time of retirement, if requested by the Department Head. </w:t>
      </w:r>
      <w:r w:rsidR="00FB57AA">
        <w:t xml:space="preserve"> </w:t>
      </w:r>
      <w:r w:rsidR="0040560E">
        <w:t>“</w:t>
      </w:r>
      <w:r w:rsidR="00FB57AA" w:rsidRPr="00FB57AA">
        <w:t>Corresponding Members of the Faculty</w:t>
      </w:r>
      <w:r w:rsidR="0040560E">
        <w:t>”</w:t>
      </w:r>
      <w:r w:rsidR="00FB57AA" w:rsidRPr="00FB57AA">
        <w:t xml:space="preserve"> hold active appointments that must be renewed annually and, to the extent that they and their Department Head’s wish, continue to participate in the academic life of the community</w:t>
      </w:r>
      <w:r w:rsidR="00FB57AA">
        <w:t xml:space="preserve">. </w:t>
      </w:r>
      <w:r w:rsidR="00FB57AA" w:rsidRPr="00FB57AA">
        <w:t xml:space="preserve"> </w:t>
      </w:r>
    </w:p>
    <w:p w14:paraId="3AFFD116" w14:textId="1F659DB9" w:rsidR="002B7448" w:rsidRDefault="00BA6562" w:rsidP="000918F7">
      <w:pPr>
        <w:pStyle w:val="ListParagraph"/>
        <w:numPr>
          <w:ilvl w:val="0"/>
          <w:numId w:val="6"/>
        </w:numPr>
      </w:pPr>
      <w:r w:rsidRPr="00974079">
        <w:rPr>
          <w:b/>
          <w:bCs/>
        </w:rPr>
        <w:lastRenderedPageBreak/>
        <w:t>Retiring members who are</w:t>
      </w:r>
      <w:r>
        <w:t xml:space="preserve"> </w:t>
      </w:r>
      <w:r w:rsidRPr="00BC66FD">
        <w:rPr>
          <w:b/>
          <w:bCs/>
        </w:rPr>
        <w:t>Professor, Full Time</w:t>
      </w:r>
      <w:r>
        <w:t xml:space="preserve"> may transition to the title of Professor Emeritus/Emerita. An individual holding an endowed professorship who reduces effort in a transitional state toward retirement may retain the endowed professorial title, modified by the term “Distinguished”. ‘Distinguished’ designation indicates that the faculty member, unless agreed to by arrangement with hospital leadership, will no longer receive financial resources from the Professorship.   At the time</w:t>
      </w:r>
      <w:r w:rsidR="003F7A22">
        <w:t>,</w:t>
      </w:r>
      <w:r>
        <w:t xml:space="preserve"> an “endowed” Professor transitions to full retirement, their title becomes the “(Name of the endowed chair) Professor Emeritus (or Emerita).  Non-endowed Professors who transition toward retirement may serve as a part time professor for a period up to two years before transitioning to Emeritus or Emerita status.  Emeritus</w:t>
      </w:r>
      <w:r w:rsidR="0040560E">
        <w:t>/Emerita</w:t>
      </w:r>
      <w:r>
        <w:t xml:space="preserve"> Professors may continue to serve in the academic life of the department by agreement with the department chair person.  </w:t>
      </w:r>
    </w:p>
    <w:p w14:paraId="0E8875D5" w14:textId="376C3530" w:rsidR="002B7448" w:rsidRDefault="002B7448">
      <w:pPr>
        <w:contextualSpacing/>
      </w:pPr>
    </w:p>
    <w:p w14:paraId="4D414DA0" w14:textId="77777777" w:rsidR="00974079" w:rsidRDefault="00974079">
      <w:pPr>
        <w:contextualSpacing/>
      </w:pPr>
    </w:p>
    <w:sectPr w:rsidR="00974079">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D1080" w16cex:dateUtc="2023-05-03T2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CCBAA1" w16cid:durableId="27FD108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5D56"/>
    <w:multiLevelType w:val="hybridMultilevel"/>
    <w:tmpl w:val="EB0E3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1674B"/>
    <w:multiLevelType w:val="hybridMultilevel"/>
    <w:tmpl w:val="E2C0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C0E4C"/>
    <w:multiLevelType w:val="hybridMultilevel"/>
    <w:tmpl w:val="41E0B6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D17D2"/>
    <w:multiLevelType w:val="hybridMultilevel"/>
    <w:tmpl w:val="0B9A5ABC"/>
    <w:lvl w:ilvl="0" w:tplc="487C24AA">
      <w:numFmt w:val="bullet"/>
      <w:lvlText w:val="•"/>
      <w:lvlJc w:val="left"/>
      <w:pPr>
        <w:ind w:left="820" w:hanging="4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81E00"/>
    <w:multiLevelType w:val="hybridMultilevel"/>
    <w:tmpl w:val="5E541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64076"/>
    <w:multiLevelType w:val="hybridMultilevel"/>
    <w:tmpl w:val="49967BE6"/>
    <w:lvl w:ilvl="0" w:tplc="776270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585F45"/>
    <w:multiLevelType w:val="hybridMultilevel"/>
    <w:tmpl w:val="F72CF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46468"/>
    <w:multiLevelType w:val="hybridMultilevel"/>
    <w:tmpl w:val="7B56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639F5"/>
    <w:multiLevelType w:val="hybridMultilevel"/>
    <w:tmpl w:val="EC727C96"/>
    <w:lvl w:ilvl="0" w:tplc="6CFEE2F4">
      <w:start w:val="1"/>
      <w:numFmt w:val="decimal"/>
      <w:lvlText w:val="%1."/>
      <w:lvlJc w:val="left"/>
      <w:pPr>
        <w:ind w:left="830" w:hanging="470"/>
      </w:pPr>
      <w:rPr>
        <w:rFonts w:hint="default"/>
      </w:rPr>
    </w:lvl>
    <w:lvl w:ilvl="1" w:tplc="FE70ABBE">
      <w:start w:val="1"/>
      <w:numFmt w:val="lowerLetter"/>
      <w:lvlText w:val="%2."/>
      <w:lvlJc w:val="left"/>
      <w:pPr>
        <w:ind w:left="1590" w:hanging="5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9E430C"/>
    <w:multiLevelType w:val="hybridMultilevel"/>
    <w:tmpl w:val="CFBAC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921A1A"/>
    <w:multiLevelType w:val="hybridMultilevel"/>
    <w:tmpl w:val="28A4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05399F"/>
    <w:multiLevelType w:val="hybridMultilevel"/>
    <w:tmpl w:val="80FA6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7916A3"/>
    <w:multiLevelType w:val="hybridMultilevel"/>
    <w:tmpl w:val="262A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9F7159"/>
    <w:multiLevelType w:val="hybridMultilevel"/>
    <w:tmpl w:val="6EBA73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53616"/>
    <w:multiLevelType w:val="hybridMultilevel"/>
    <w:tmpl w:val="693C92FC"/>
    <w:lvl w:ilvl="0" w:tplc="8F9CC79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B975AC"/>
    <w:multiLevelType w:val="hybridMultilevel"/>
    <w:tmpl w:val="C696EFD0"/>
    <w:lvl w:ilvl="0" w:tplc="65D06A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5A0A5B"/>
    <w:multiLevelType w:val="hybridMultilevel"/>
    <w:tmpl w:val="FF448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10768C"/>
    <w:multiLevelType w:val="hybridMultilevel"/>
    <w:tmpl w:val="5FEC516E"/>
    <w:lvl w:ilvl="0" w:tplc="8F9CC792">
      <w:start w:val="1"/>
      <w:numFmt w:val="bullet"/>
      <w:lvlText w:val=""/>
      <w:lvlJc w:val="left"/>
      <w:pPr>
        <w:ind w:left="720" w:hanging="360"/>
      </w:pPr>
      <w:rPr>
        <w:rFonts w:ascii="Wingdings" w:hAnsi="Wingdings" w:hint="default"/>
      </w:rPr>
    </w:lvl>
    <w:lvl w:ilvl="1" w:tplc="8F9CC792">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7248B2"/>
    <w:multiLevelType w:val="hybridMultilevel"/>
    <w:tmpl w:val="15525872"/>
    <w:lvl w:ilvl="0" w:tplc="487C24AA">
      <w:numFmt w:val="bullet"/>
      <w:lvlText w:val="•"/>
      <w:lvlJc w:val="left"/>
      <w:pPr>
        <w:ind w:left="820" w:hanging="460"/>
      </w:pPr>
      <w:rPr>
        <w:rFonts w:ascii="Calibri" w:eastAsiaTheme="minorHAnsi" w:hAnsi="Calibri" w:cs="Calibri" w:hint="default"/>
      </w:rPr>
    </w:lvl>
    <w:lvl w:ilvl="1" w:tplc="636A337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8"/>
  </w:num>
  <w:num w:numId="3">
    <w:abstractNumId w:val="3"/>
  </w:num>
  <w:num w:numId="4">
    <w:abstractNumId w:val="11"/>
  </w:num>
  <w:num w:numId="5">
    <w:abstractNumId w:val="8"/>
  </w:num>
  <w:num w:numId="6">
    <w:abstractNumId w:val="6"/>
  </w:num>
  <w:num w:numId="7">
    <w:abstractNumId w:val="2"/>
  </w:num>
  <w:num w:numId="8">
    <w:abstractNumId w:val="13"/>
  </w:num>
  <w:num w:numId="9">
    <w:abstractNumId w:val="7"/>
  </w:num>
  <w:num w:numId="10">
    <w:abstractNumId w:val="4"/>
  </w:num>
  <w:num w:numId="11">
    <w:abstractNumId w:val="15"/>
  </w:num>
  <w:num w:numId="12">
    <w:abstractNumId w:val="1"/>
  </w:num>
  <w:num w:numId="13">
    <w:abstractNumId w:val="0"/>
  </w:num>
  <w:num w:numId="14">
    <w:abstractNumId w:val="5"/>
  </w:num>
  <w:num w:numId="15">
    <w:abstractNumId w:val="1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6"/>
  </w:num>
  <w:num w:numId="19">
    <w:abstractNumId w:val="1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527"/>
    <w:rsid w:val="00004924"/>
    <w:rsid w:val="000C36BD"/>
    <w:rsid w:val="000D6E6D"/>
    <w:rsid w:val="000E682E"/>
    <w:rsid w:val="000F458D"/>
    <w:rsid w:val="00104F76"/>
    <w:rsid w:val="00157DBE"/>
    <w:rsid w:val="0017370A"/>
    <w:rsid w:val="001830FF"/>
    <w:rsid w:val="00195C76"/>
    <w:rsid w:val="001C210D"/>
    <w:rsid w:val="001D07DD"/>
    <w:rsid w:val="001F4215"/>
    <w:rsid w:val="00250F0A"/>
    <w:rsid w:val="002765DC"/>
    <w:rsid w:val="002B7448"/>
    <w:rsid w:val="002B794B"/>
    <w:rsid w:val="002C0F57"/>
    <w:rsid w:val="002E7B67"/>
    <w:rsid w:val="003857A3"/>
    <w:rsid w:val="003F7A22"/>
    <w:rsid w:val="0040560E"/>
    <w:rsid w:val="00444D18"/>
    <w:rsid w:val="004D2363"/>
    <w:rsid w:val="005858E9"/>
    <w:rsid w:val="00592822"/>
    <w:rsid w:val="00604C63"/>
    <w:rsid w:val="0064538C"/>
    <w:rsid w:val="006477BB"/>
    <w:rsid w:val="0065772D"/>
    <w:rsid w:val="0069708D"/>
    <w:rsid w:val="006E3377"/>
    <w:rsid w:val="007252C0"/>
    <w:rsid w:val="00745DA4"/>
    <w:rsid w:val="007465C8"/>
    <w:rsid w:val="00782FF9"/>
    <w:rsid w:val="007A4215"/>
    <w:rsid w:val="007B6601"/>
    <w:rsid w:val="007E358F"/>
    <w:rsid w:val="008144B4"/>
    <w:rsid w:val="008217EF"/>
    <w:rsid w:val="00851219"/>
    <w:rsid w:val="00893BB8"/>
    <w:rsid w:val="0096302F"/>
    <w:rsid w:val="00974079"/>
    <w:rsid w:val="009A795C"/>
    <w:rsid w:val="00A205C4"/>
    <w:rsid w:val="00A30A8A"/>
    <w:rsid w:val="00A856ED"/>
    <w:rsid w:val="00B03B8D"/>
    <w:rsid w:val="00B1015E"/>
    <w:rsid w:val="00B20417"/>
    <w:rsid w:val="00B2251B"/>
    <w:rsid w:val="00B56789"/>
    <w:rsid w:val="00B64BBF"/>
    <w:rsid w:val="00B73E51"/>
    <w:rsid w:val="00B8357B"/>
    <w:rsid w:val="00B976B4"/>
    <w:rsid w:val="00BA6562"/>
    <w:rsid w:val="00BB48E2"/>
    <w:rsid w:val="00BC0A56"/>
    <w:rsid w:val="00BC66FD"/>
    <w:rsid w:val="00BC79FE"/>
    <w:rsid w:val="00BF2CA0"/>
    <w:rsid w:val="00C24A24"/>
    <w:rsid w:val="00C25A17"/>
    <w:rsid w:val="00C43A09"/>
    <w:rsid w:val="00C44FB9"/>
    <w:rsid w:val="00C76954"/>
    <w:rsid w:val="00C87546"/>
    <w:rsid w:val="00C92996"/>
    <w:rsid w:val="00CF4E13"/>
    <w:rsid w:val="00E34527"/>
    <w:rsid w:val="00E57CD3"/>
    <w:rsid w:val="00E668DD"/>
    <w:rsid w:val="00E67B71"/>
    <w:rsid w:val="00F046B1"/>
    <w:rsid w:val="00F5443B"/>
    <w:rsid w:val="00F726F4"/>
    <w:rsid w:val="00FB57AA"/>
    <w:rsid w:val="00FC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EBEE1"/>
  <w15:chartTrackingRefBased/>
  <w15:docId w15:val="{66667A70-DA6A-4359-8825-95E9B1D6A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xmsonormal">
    <w:name w:val="x_x_xxmsonormal"/>
    <w:basedOn w:val="Normal"/>
    <w:rsid w:val="0096302F"/>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xxcontentpasted0">
    <w:name w:val="x_x_contentpasted0"/>
    <w:basedOn w:val="DefaultParagraphFont"/>
    <w:rsid w:val="0096302F"/>
  </w:style>
  <w:style w:type="paragraph" w:customStyle="1" w:styleId="xxxxmsolistparagraph">
    <w:name w:val="x_x_xxmsolistparagraph"/>
    <w:basedOn w:val="Normal"/>
    <w:rsid w:val="0096302F"/>
    <w:pPr>
      <w:spacing w:before="100" w:beforeAutospacing="1" w:after="100" w:afterAutospacing="1"/>
    </w:pPr>
    <w:rPr>
      <w:rFonts w:ascii="Times New Roman" w:eastAsia="Times New Roman" w:hAnsi="Times New Roman" w:cs="Times New Roman"/>
      <w:kern w:val="0"/>
      <w:sz w:val="24"/>
      <w:szCs w:val="24"/>
      <w14:ligatures w14:val="none"/>
    </w:rPr>
  </w:style>
  <w:style w:type="paragraph" w:customStyle="1" w:styleId="xxxmsolistparagraph">
    <w:name w:val="x_x_xmsolistparagraph"/>
    <w:basedOn w:val="Normal"/>
    <w:rsid w:val="0096302F"/>
    <w:pPr>
      <w:spacing w:before="100" w:beforeAutospacing="1" w:after="100" w:afterAutospacing="1"/>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B56789"/>
    <w:pPr>
      <w:ind w:left="720"/>
      <w:contextualSpacing/>
    </w:pPr>
  </w:style>
  <w:style w:type="paragraph" w:styleId="Revision">
    <w:name w:val="Revision"/>
    <w:hidden/>
    <w:uiPriority w:val="99"/>
    <w:semiHidden/>
    <w:rsid w:val="005858E9"/>
    <w:pPr>
      <w:spacing w:after="0"/>
    </w:pPr>
  </w:style>
  <w:style w:type="paragraph" w:styleId="BalloonText">
    <w:name w:val="Balloon Text"/>
    <w:basedOn w:val="Normal"/>
    <w:link w:val="BalloonTextChar"/>
    <w:uiPriority w:val="99"/>
    <w:semiHidden/>
    <w:unhideWhenUsed/>
    <w:rsid w:val="007E358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58F"/>
    <w:rPr>
      <w:rFonts w:ascii="Segoe UI" w:hAnsi="Segoe UI" w:cs="Segoe UI"/>
      <w:sz w:val="18"/>
      <w:szCs w:val="18"/>
    </w:rPr>
  </w:style>
  <w:style w:type="character" w:styleId="CommentReference">
    <w:name w:val="annotation reference"/>
    <w:basedOn w:val="DefaultParagraphFont"/>
    <w:uiPriority w:val="99"/>
    <w:semiHidden/>
    <w:unhideWhenUsed/>
    <w:rsid w:val="009A795C"/>
    <w:rPr>
      <w:sz w:val="16"/>
      <w:szCs w:val="16"/>
    </w:rPr>
  </w:style>
  <w:style w:type="paragraph" w:styleId="CommentText">
    <w:name w:val="annotation text"/>
    <w:basedOn w:val="Normal"/>
    <w:link w:val="CommentTextChar"/>
    <w:uiPriority w:val="99"/>
    <w:semiHidden/>
    <w:unhideWhenUsed/>
    <w:rsid w:val="009A795C"/>
    <w:rPr>
      <w:sz w:val="20"/>
      <w:szCs w:val="20"/>
    </w:rPr>
  </w:style>
  <w:style w:type="character" w:customStyle="1" w:styleId="CommentTextChar">
    <w:name w:val="Comment Text Char"/>
    <w:basedOn w:val="DefaultParagraphFont"/>
    <w:link w:val="CommentText"/>
    <w:uiPriority w:val="99"/>
    <w:semiHidden/>
    <w:rsid w:val="009A795C"/>
    <w:rPr>
      <w:sz w:val="20"/>
      <w:szCs w:val="20"/>
    </w:rPr>
  </w:style>
  <w:style w:type="paragraph" w:styleId="CommentSubject">
    <w:name w:val="annotation subject"/>
    <w:basedOn w:val="CommentText"/>
    <w:next w:val="CommentText"/>
    <w:link w:val="CommentSubjectChar"/>
    <w:uiPriority w:val="99"/>
    <w:semiHidden/>
    <w:unhideWhenUsed/>
    <w:rsid w:val="009A795C"/>
    <w:rPr>
      <w:b/>
      <w:bCs/>
    </w:rPr>
  </w:style>
  <w:style w:type="character" w:customStyle="1" w:styleId="CommentSubjectChar">
    <w:name w:val="Comment Subject Char"/>
    <w:basedOn w:val="CommentTextChar"/>
    <w:link w:val="CommentSubject"/>
    <w:uiPriority w:val="99"/>
    <w:semiHidden/>
    <w:rsid w:val="009A795C"/>
    <w:rPr>
      <w:b/>
      <w:bCs/>
      <w:sz w:val="20"/>
      <w:szCs w:val="20"/>
    </w:rPr>
  </w:style>
  <w:style w:type="paragraph" w:styleId="NormalWeb">
    <w:name w:val="Normal (Web)"/>
    <w:basedOn w:val="Normal"/>
    <w:uiPriority w:val="99"/>
    <w:unhideWhenUsed/>
    <w:rsid w:val="000F458D"/>
    <w:pPr>
      <w:spacing w:before="100" w:beforeAutospacing="1" w:after="100" w:afterAutospacing="1"/>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9740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60990">
      <w:bodyDiv w:val="1"/>
      <w:marLeft w:val="0"/>
      <w:marRight w:val="0"/>
      <w:marTop w:val="0"/>
      <w:marBottom w:val="0"/>
      <w:divBdr>
        <w:top w:val="none" w:sz="0" w:space="0" w:color="auto"/>
        <w:left w:val="none" w:sz="0" w:space="0" w:color="auto"/>
        <w:bottom w:val="none" w:sz="0" w:space="0" w:color="auto"/>
        <w:right w:val="none" w:sz="0" w:space="0" w:color="auto"/>
      </w:divBdr>
    </w:div>
    <w:div w:id="531721696">
      <w:bodyDiv w:val="1"/>
      <w:marLeft w:val="0"/>
      <w:marRight w:val="0"/>
      <w:marTop w:val="0"/>
      <w:marBottom w:val="0"/>
      <w:divBdr>
        <w:top w:val="none" w:sz="0" w:space="0" w:color="auto"/>
        <w:left w:val="none" w:sz="0" w:space="0" w:color="auto"/>
        <w:bottom w:val="none" w:sz="0" w:space="0" w:color="auto"/>
        <w:right w:val="none" w:sz="0" w:space="0" w:color="auto"/>
      </w:divBdr>
    </w:div>
    <w:div w:id="12826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1270</Words>
  <Characters>7240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Emans</dc:creator>
  <cp:keywords/>
  <dc:description/>
  <cp:lastModifiedBy>Kasser, James</cp:lastModifiedBy>
  <cp:revision>4</cp:revision>
  <dcterms:created xsi:type="dcterms:W3CDTF">2023-05-05T09:51:00Z</dcterms:created>
  <dcterms:modified xsi:type="dcterms:W3CDTF">2023-07-19T14:26:00Z</dcterms:modified>
</cp:coreProperties>
</file>